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F9B56" w14:textId="59500A08" w:rsidR="002D4A10" w:rsidRPr="006E5790" w:rsidRDefault="002D4A10" w:rsidP="006E5790">
      <w:pPr>
        <w:spacing w:after="0" w:line="240" w:lineRule="auto"/>
        <w:rPr>
          <w:rFonts w:ascii="Times New Roman" w:eastAsia="Times New Roman" w:hAnsi="Times New Roman" w:cs="Times New Roman"/>
          <w:b/>
          <w:bCs/>
          <w:sz w:val="32"/>
          <w:szCs w:val="32"/>
          <w:lang w:val="en-GB" w:eastAsia="en-GB"/>
        </w:rPr>
      </w:pPr>
      <w:r w:rsidRPr="002D4A10">
        <w:rPr>
          <w:rFonts w:ascii="Times New Roman" w:eastAsia="Times New Roman" w:hAnsi="Times New Roman" w:cs="Arial"/>
          <w:b/>
          <w:bCs/>
          <w:noProof/>
          <w:color w:val="CC99FF"/>
          <w:sz w:val="32"/>
          <w:szCs w:val="32"/>
          <w:lang w:val="en-GB" w:eastAsia="en-GB"/>
        </w:rPr>
        <w:drawing>
          <wp:anchor distT="0" distB="0" distL="114300" distR="114300" simplePos="0" relativeHeight="251659264" behindDoc="0" locked="0" layoutInCell="1" allowOverlap="1" wp14:anchorId="3792B3BF" wp14:editId="5AE2C7EC">
            <wp:simplePos x="0" y="0"/>
            <wp:positionH relativeFrom="column">
              <wp:posOffset>981710</wp:posOffset>
            </wp:positionH>
            <wp:positionV relativeFrom="paragraph">
              <wp:posOffset>-716280</wp:posOffset>
            </wp:positionV>
            <wp:extent cx="6076315" cy="1714500"/>
            <wp:effectExtent l="0" t="0" r="635" b="0"/>
            <wp:wrapNone/>
            <wp:docPr id="488588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76315" cy="1714500"/>
                    </a:xfrm>
                    <a:prstGeom prst="rect">
                      <a:avLst/>
                    </a:prstGeom>
                    <a:noFill/>
                  </pic:spPr>
                </pic:pic>
              </a:graphicData>
            </a:graphic>
            <wp14:sizeRelH relativeFrom="page">
              <wp14:pctWidth>0</wp14:pctWidth>
            </wp14:sizeRelH>
            <wp14:sizeRelV relativeFrom="page">
              <wp14:pctHeight>0</wp14:pctHeight>
            </wp14:sizeRelV>
          </wp:anchor>
        </w:drawing>
      </w:r>
    </w:p>
    <w:p w14:paraId="66B6E69D" w14:textId="77777777" w:rsidR="002D4A10" w:rsidRPr="002D4A10" w:rsidRDefault="002D4A10" w:rsidP="002D4A10">
      <w:pPr>
        <w:spacing w:after="0" w:line="240" w:lineRule="auto"/>
        <w:jc w:val="center"/>
        <w:rPr>
          <w:rFonts w:ascii="Times New Roman" w:eastAsia="Times New Roman" w:hAnsi="Times New Roman" w:cs="Arial"/>
          <w:b/>
          <w:bCs/>
          <w:color w:val="CC99FF"/>
          <w:sz w:val="32"/>
          <w:szCs w:val="32"/>
          <w:lang w:val="en-GB" w:eastAsia="en-GB"/>
        </w:rPr>
      </w:pPr>
    </w:p>
    <w:p w14:paraId="2B36DB6C" w14:textId="7BE297BF" w:rsidR="006E5790" w:rsidRDefault="006E5790" w:rsidP="6B9106D2">
      <w:pPr>
        <w:ind w:right="-1044"/>
        <w:jc w:val="both"/>
        <w:rPr>
          <w:lang w:eastAsia="en-GB"/>
        </w:rPr>
      </w:pPr>
      <w:r>
        <w:rPr>
          <w:noProof/>
        </w:rPr>
        <w:drawing>
          <wp:anchor distT="0" distB="0" distL="114300" distR="114300" simplePos="0" relativeHeight="251662336" behindDoc="0" locked="0" layoutInCell="1" allowOverlap="1" wp14:anchorId="34823A3B" wp14:editId="1C3C5CC0">
            <wp:simplePos x="0" y="0"/>
            <wp:positionH relativeFrom="column">
              <wp:posOffset>2611037</wp:posOffset>
            </wp:positionH>
            <wp:positionV relativeFrom="paragraph">
              <wp:posOffset>84207</wp:posOffset>
            </wp:positionV>
            <wp:extent cx="1247775" cy="1497330"/>
            <wp:effectExtent l="0" t="0" r="9525" b="7620"/>
            <wp:wrapNone/>
            <wp:docPr id="16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47775" cy="1497330"/>
                    </a:xfrm>
                    <a:prstGeom prst="rect">
                      <a:avLst/>
                    </a:prstGeom>
                    <a:noFill/>
                  </pic:spPr>
                </pic:pic>
              </a:graphicData>
            </a:graphic>
            <wp14:sizeRelH relativeFrom="page">
              <wp14:pctWidth>0</wp14:pctWidth>
            </wp14:sizeRelH>
            <wp14:sizeRelV relativeFrom="page">
              <wp14:pctHeight>0</wp14:pctHeight>
            </wp14:sizeRelV>
          </wp:anchor>
        </w:drawing>
      </w:r>
      <w:r w:rsidR="002D4A10" w:rsidRPr="002D4A10">
        <w:rPr>
          <w:rFonts w:ascii="Times New Roman" w:eastAsia="Times New Roman" w:hAnsi="Times New Roman" w:cs="Arial"/>
          <w:b/>
          <w:bCs/>
          <w:color w:val="CC99FF"/>
          <w:sz w:val="32"/>
          <w:szCs w:val="32"/>
          <w:lang w:val="en-GB" w:eastAsia="en-GB"/>
        </w:rPr>
        <w:tab/>
      </w:r>
    </w:p>
    <w:p w14:paraId="35E0ABE9" w14:textId="3B0784F2" w:rsidR="6B9106D2" w:rsidRDefault="6B9106D2" w:rsidP="6B9106D2">
      <w:pPr>
        <w:spacing w:after="0" w:line="240" w:lineRule="auto"/>
        <w:jc w:val="center"/>
        <w:rPr>
          <w:rFonts w:eastAsia="Times New Roman" w:cs="Arial"/>
          <w:b/>
          <w:bCs/>
          <w:sz w:val="72"/>
          <w:szCs w:val="72"/>
          <w:u w:val="single"/>
          <w:lang w:eastAsia="en-GB"/>
        </w:rPr>
      </w:pPr>
    </w:p>
    <w:p w14:paraId="09D7A653" w14:textId="18A41BCB" w:rsidR="6B9106D2" w:rsidRDefault="6B9106D2" w:rsidP="6B9106D2">
      <w:pPr>
        <w:spacing w:after="0" w:line="240" w:lineRule="auto"/>
        <w:jc w:val="center"/>
        <w:rPr>
          <w:rFonts w:eastAsia="Times New Roman" w:cs="Arial"/>
          <w:b/>
          <w:bCs/>
          <w:sz w:val="72"/>
          <w:szCs w:val="72"/>
          <w:u w:val="single"/>
          <w:lang w:eastAsia="en-GB"/>
        </w:rPr>
      </w:pPr>
    </w:p>
    <w:p w14:paraId="11B0E786" w14:textId="1DCA7371" w:rsidR="6B9106D2" w:rsidRDefault="6B9106D2" w:rsidP="6B9106D2">
      <w:pPr>
        <w:spacing w:after="0" w:line="240" w:lineRule="auto"/>
        <w:jc w:val="center"/>
        <w:rPr>
          <w:rFonts w:eastAsia="Times New Roman" w:cs="Arial"/>
          <w:b/>
          <w:bCs/>
          <w:sz w:val="72"/>
          <w:szCs w:val="72"/>
          <w:u w:val="single"/>
          <w:lang w:eastAsia="en-GB"/>
        </w:rPr>
      </w:pPr>
    </w:p>
    <w:p w14:paraId="49EE04F7" w14:textId="77777777" w:rsidR="006E5790" w:rsidRDefault="006E5790" w:rsidP="006E5790">
      <w:pPr>
        <w:spacing w:after="0" w:line="240" w:lineRule="auto"/>
        <w:jc w:val="center"/>
        <w:rPr>
          <w:rFonts w:eastAsia="Times New Roman" w:cs="Arial"/>
          <w:b/>
          <w:bCs/>
          <w:sz w:val="72"/>
          <w:szCs w:val="72"/>
          <w:u w:val="single"/>
          <w:lang w:eastAsia="en-GB"/>
        </w:rPr>
      </w:pPr>
      <w:r w:rsidRPr="002D4A10">
        <w:rPr>
          <w:rFonts w:eastAsia="Times New Roman" w:cs="Arial"/>
          <w:b/>
          <w:bCs/>
          <w:sz w:val="72"/>
          <w:szCs w:val="72"/>
          <w:u w:val="single"/>
          <w:lang w:eastAsia="en-GB"/>
        </w:rPr>
        <w:t>Allergy and Anaphylaxis Policy</w:t>
      </w:r>
    </w:p>
    <w:p w14:paraId="43E1A0DC" w14:textId="77777777" w:rsidR="006E5790" w:rsidRDefault="006E5790" w:rsidP="006E5790">
      <w:pPr>
        <w:spacing w:after="0" w:line="240" w:lineRule="auto"/>
        <w:jc w:val="center"/>
        <w:rPr>
          <w:rFonts w:eastAsia="Times New Roman" w:cs="Arial"/>
          <w:b/>
          <w:bCs/>
          <w:sz w:val="72"/>
          <w:szCs w:val="72"/>
          <w:u w:val="single"/>
          <w:lang w:eastAsia="en-GB"/>
        </w:rPr>
      </w:pPr>
    </w:p>
    <w:p w14:paraId="30394C4F" w14:textId="371210E8" w:rsidR="006E5790" w:rsidRPr="00072416" w:rsidRDefault="006E5790" w:rsidP="006E5790">
      <w:pPr>
        <w:jc w:val="center"/>
        <w:rPr>
          <w:rFonts w:cs="Arial"/>
          <w:szCs w:val="24"/>
          <w:lang w:eastAsia="en-GB"/>
        </w:rPr>
      </w:pPr>
      <w:r w:rsidRPr="00072416">
        <w:rPr>
          <w:rFonts w:cs="Arial"/>
          <w:szCs w:val="24"/>
          <w:lang w:eastAsia="en-GB"/>
        </w:rPr>
        <w:t xml:space="preserve">Reviewed by Governors – </w:t>
      </w:r>
      <w:r w:rsidR="00BD7B0D" w:rsidRPr="00072416">
        <w:rPr>
          <w:rFonts w:cs="Arial"/>
          <w:szCs w:val="24"/>
          <w:lang w:eastAsia="en-GB"/>
        </w:rPr>
        <w:t>24.09.26</w:t>
      </w:r>
    </w:p>
    <w:p w14:paraId="21313C35" w14:textId="77777777" w:rsidR="006E5790" w:rsidRPr="00072416" w:rsidRDefault="006E5790" w:rsidP="006E5790">
      <w:pPr>
        <w:jc w:val="center"/>
        <w:rPr>
          <w:rFonts w:cs="Arial"/>
          <w:szCs w:val="24"/>
          <w:lang w:eastAsia="en-GB"/>
        </w:rPr>
      </w:pPr>
    </w:p>
    <w:p w14:paraId="717E01FA" w14:textId="77777777" w:rsidR="006E5790" w:rsidRDefault="006E5790" w:rsidP="00BD7B0D">
      <w:pPr>
        <w:spacing w:after="0" w:line="240" w:lineRule="auto"/>
        <w:rPr>
          <w:rFonts w:cs="Arial"/>
          <w:szCs w:val="24"/>
          <w:lang w:eastAsia="en-GB"/>
        </w:rPr>
      </w:pPr>
    </w:p>
    <w:p w14:paraId="0F32A726" w14:textId="459C004B" w:rsidR="006E5790" w:rsidRPr="002D4A10" w:rsidRDefault="006E5790" w:rsidP="6B9106D2">
      <w:pPr>
        <w:spacing w:after="0" w:line="240" w:lineRule="auto"/>
        <w:rPr>
          <w:rFonts w:ascii="Times New Roman" w:eastAsia="Times New Roman" w:hAnsi="Times New Roman" w:cs="Arial"/>
          <w:b/>
          <w:bCs/>
          <w:sz w:val="32"/>
          <w:szCs w:val="32"/>
          <w:lang w:val="en-GB" w:eastAsia="en-GB"/>
        </w:rPr>
      </w:pPr>
    </w:p>
    <w:p w14:paraId="55517C1A" w14:textId="250FC8E1" w:rsidR="006E5790" w:rsidRPr="006E5790" w:rsidRDefault="006E5790" w:rsidP="006E5790">
      <w:pPr>
        <w:spacing w:after="0" w:line="240" w:lineRule="auto"/>
        <w:jc w:val="center"/>
        <w:rPr>
          <w:rFonts w:eastAsia="Times New Roman" w:cs="Arial"/>
          <w:b/>
          <w:bCs/>
          <w:color w:val="800080"/>
          <w:sz w:val="32"/>
          <w:szCs w:val="32"/>
          <w:lang w:val="en-GB" w:eastAsia="en-GB"/>
        </w:rPr>
      </w:pPr>
      <w:r w:rsidRPr="006E5790">
        <w:rPr>
          <w:rFonts w:eastAsia="Times New Roman" w:cs="Arial"/>
          <w:b/>
          <w:bCs/>
          <w:color w:val="800080"/>
          <w:sz w:val="32"/>
          <w:szCs w:val="32"/>
          <w:lang w:val="en-GB" w:eastAsia="en-GB"/>
        </w:rPr>
        <w:t xml:space="preserve">Health, Safety &amp; Wellbeing Guidance – Schools </w:t>
      </w:r>
    </w:p>
    <w:p w14:paraId="3212C7EA" w14:textId="77777777" w:rsidR="006E5790" w:rsidRPr="006E5790" w:rsidRDefault="006E5790" w:rsidP="006E5790">
      <w:pPr>
        <w:spacing w:after="0" w:line="240" w:lineRule="auto"/>
        <w:rPr>
          <w:rFonts w:eastAsia="Times New Roman" w:cs="Arial"/>
          <w:b/>
          <w:bCs/>
          <w:sz w:val="20"/>
          <w:szCs w:val="20"/>
          <w:lang w:val="en-GB" w:eastAsia="en-GB"/>
        </w:rPr>
      </w:pPr>
    </w:p>
    <w:p w14:paraId="158C2704" w14:textId="77777777" w:rsidR="006E5790" w:rsidRPr="006E5790" w:rsidRDefault="006E5790" w:rsidP="006E5790">
      <w:pPr>
        <w:spacing w:after="0" w:line="240" w:lineRule="auto"/>
        <w:ind w:left="-426" w:right="-472"/>
        <w:jc w:val="center"/>
        <w:rPr>
          <w:rFonts w:eastAsia="Times New Roman" w:cs="Arial"/>
          <w:i/>
          <w:iCs/>
          <w:sz w:val="18"/>
          <w:szCs w:val="18"/>
          <w:lang w:val="en-GB" w:eastAsia="en-GB"/>
        </w:rPr>
      </w:pPr>
      <w:r w:rsidRPr="006E5790">
        <w:rPr>
          <w:rFonts w:eastAsia="Times New Roman" w:cs="Arial"/>
          <w:i/>
          <w:iCs/>
          <w:sz w:val="18"/>
          <w:szCs w:val="18"/>
          <w:lang w:val="en-GB" w:eastAsia="en-GB"/>
        </w:rPr>
        <w:t>“All policies and other documentation provided to the client by Derbyshire County Council remain exclusively the property of the Council. The client is entitled to retain and use these items only for so long as its contract with the Council subsists. Upon the contract’s termination, all such items shall cease to be used by the client, with immediate effect, and shall be promptly returned to the Council. In the event of breach by the client of this agreement, the Council reserves all legal rights and remedies”.</w:t>
      </w:r>
    </w:p>
    <w:p w14:paraId="3CC1711C" w14:textId="77777777" w:rsidR="006E5790" w:rsidRPr="006E5790" w:rsidRDefault="006E5790" w:rsidP="006E5790">
      <w:pPr>
        <w:spacing w:after="0" w:line="240" w:lineRule="auto"/>
        <w:ind w:left="-426" w:right="-472"/>
        <w:jc w:val="both"/>
        <w:rPr>
          <w:rFonts w:eastAsia="Times New Roman" w:cs="Arial"/>
          <w:b/>
          <w:bCs/>
          <w:sz w:val="18"/>
          <w:szCs w:val="18"/>
          <w:lang w:val="en-GB" w:eastAsia="en-GB"/>
        </w:rPr>
      </w:pPr>
    </w:p>
    <w:p w14:paraId="641D22E6" w14:textId="77777777" w:rsidR="006E5790" w:rsidRPr="006E5790" w:rsidRDefault="006E5790" w:rsidP="006E5790">
      <w:pPr>
        <w:spacing w:after="0" w:line="240" w:lineRule="auto"/>
        <w:ind w:left="-426" w:right="-472"/>
        <w:jc w:val="center"/>
        <w:rPr>
          <w:rFonts w:eastAsia="Times New Roman" w:cs="Arial"/>
          <w:bCs/>
          <w:sz w:val="18"/>
          <w:szCs w:val="18"/>
          <w:lang w:val="en-GB" w:eastAsia="en-GB"/>
        </w:rPr>
      </w:pPr>
      <w:r w:rsidRPr="006E5790">
        <w:rPr>
          <w:rFonts w:eastAsia="Times New Roman" w:cs="Arial"/>
          <w:bCs/>
          <w:sz w:val="18"/>
          <w:szCs w:val="18"/>
          <w:lang w:val="en-GB" w:eastAsia="en-GB"/>
        </w:rPr>
        <w:t>Health, Safety &amp; Wellbeing Section</w:t>
      </w:r>
    </w:p>
    <w:p w14:paraId="4CD0C8B1" w14:textId="77777777" w:rsidR="006E5790" w:rsidRPr="006E5790" w:rsidRDefault="006E5790" w:rsidP="006E5790">
      <w:pPr>
        <w:spacing w:after="0" w:line="240" w:lineRule="auto"/>
        <w:ind w:left="-426" w:right="-472"/>
        <w:jc w:val="center"/>
        <w:rPr>
          <w:rFonts w:eastAsia="Times New Roman" w:cs="Arial"/>
          <w:bCs/>
          <w:sz w:val="18"/>
          <w:szCs w:val="18"/>
          <w:lang w:val="en-GB" w:eastAsia="en-GB"/>
        </w:rPr>
      </w:pPr>
      <w:r w:rsidRPr="006E5790">
        <w:rPr>
          <w:rFonts w:eastAsia="Times New Roman" w:cs="Arial"/>
          <w:bCs/>
          <w:sz w:val="18"/>
          <w:szCs w:val="18"/>
          <w:lang w:val="en-GB" w:eastAsia="en-GB"/>
        </w:rPr>
        <w:t>Corporate Services and Transformation</w:t>
      </w:r>
    </w:p>
    <w:p w14:paraId="00B000CD" w14:textId="77777777" w:rsidR="006E5790" w:rsidRPr="006E5790" w:rsidRDefault="006E5790" w:rsidP="006E5790">
      <w:pPr>
        <w:spacing w:after="0" w:line="240" w:lineRule="auto"/>
        <w:ind w:left="-426" w:right="-472"/>
        <w:jc w:val="center"/>
        <w:rPr>
          <w:rFonts w:eastAsia="Times New Roman" w:cs="Arial"/>
          <w:bCs/>
          <w:sz w:val="18"/>
          <w:szCs w:val="18"/>
          <w:lang w:val="en-GB" w:eastAsia="en-GB"/>
        </w:rPr>
      </w:pPr>
      <w:r w:rsidRPr="006E5790">
        <w:rPr>
          <w:rFonts w:eastAsia="Times New Roman" w:cs="Arial"/>
          <w:bCs/>
          <w:sz w:val="18"/>
          <w:szCs w:val="18"/>
          <w:lang w:val="en-GB" w:eastAsia="en-GB"/>
        </w:rPr>
        <w:t>Derbyshire County Council</w:t>
      </w:r>
    </w:p>
    <w:p w14:paraId="7B1B6B6C" w14:textId="77777777" w:rsidR="006E5790" w:rsidRPr="006E5790" w:rsidRDefault="006E5790" w:rsidP="006E5790">
      <w:pPr>
        <w:spacing w:after="0" w:line="240" w:lineRule="auto"/>
        <w:ind w:left="-426" w:right="-472"/>
        <w:jc w:val="center"/>
        <w:rPr>
          <w:rFonts w:eastAsia="Times New Roman" w:cs="Arial"/>
          <w:bCs/>
          <w:sz w:val="18"/>
          <w:szCs w:val="18"/>
          <w:lang w:val="en-GB" w:eastAsia="en-GB"/>
        </w:rPr>
      </w:pPr>
      <w:r w:rsidRPr="006E5790">
        <w:rPr>
          <w:rFonts w:eastAsia="Times New Roman" w:cs="Arial"/>
          <w:bCs/>
          <w:sz w:val="18"/>
          <w:szCs w:val="18"/>
          <w:lang w:val="en-GB" w:eastAsia="en-GB"/>
        </w:rPr>
        <w:t xml:space="preserve">County Hall </w:t>
      </w:r>
    </w:p>
    <w:p w14:paraId="65F4FBDB" w14:textId="77777777" w:rsidR="006E5790" w:rsidRPr="006E5790" w:rsidRDefault="006E5790" w:rsidP="006E5790">
      <w:pPr>
        <w:spacing w:after="0" w:line="240" w:lineRule="auto"/>
        <w:ind w:left="-426" w:right="-472"/>
        <w:jc w:val="center"/>
        <w:rPr>
          <w:rFonts w:eastAsia="Times New Roman" w:cs="Arial"/>
          <w:bCs/>
          <w:sz w:val="18"/>
          <w:szCs w:val="18"/>
          <w:lang w:val="en-GB" w:eastAsia="en-GB"/>
        </w:rPr>
      </w:pPr>
      <w:r w:rsidRPr="006E5790">
        <w:rPr>
          <w:rFonts w:eastAsia="Times New Roman" w:cs="Arial"/>
          <w:bCs/>
          <w:sz w:val="18"/>
          <w:szCs w:val="18"/>
          <w:lang w:val="en-GB" w:eastAsia="en-GB"/>
        </w:rPr>
        <w:t>Matlock</w:t>
      </w:r>
    </w:p>
    <w:p w14:paraId="026EDC0D" w14:textId="77777777" w:rsidR="006E5790" w:rsidRPr="006E5790" w:rsidRDefault="006E5790" w:rsidP="006E5790">
      <w:pPr>
        <w:spacing w:after="0" w:line="240" w:lineRule="auto"/>
        <w:ind w:left="-426" w:right="-472"/>
        <w:jc w:val="center"/>
        <w:rPr>
          <w:rFonts w:eastAsia="Times New Roman" w:cs="Arial"/>
          <w:bCs/>
          <w:sz w:val="18"/>
          <w:szCs w:val="18"/>
          <w:lang w:val="en-GB" w:eastAsia="en-GB"/>
        </w:rPr>
      </w:pPr>
      <w:r w:rsidRPr="006E5790">
        <w:rPr>
          <w:rFonts w:eastAsia="Times New Roman" w:cs="Arial"/>
          <w:bCs/>
          <w:sz w:val="18"/>
          <w:szCs w:val="18"/>
          <w:lang w:val="en-GB" w:eastAsia="en-GB"/>
        </w:rPr>
        <w:t>Derbyshire</w:t>
      </w:r>
    </w:p>
    <w:p w14:paraId="71FC89E1" w14:textId="77777777" w:rsidR="006E5790" w:rsidRPr="006E5790" w:rsidRDefault="006E5790" w:rsidP="006E5790">
      <w:pPr>
        <w:spacing w:after="0" w:line="240" w:lineRule="auto"/>
        <w:ind w:left="-426" w:right="-472"/>
        <w:jc w:val="center"/>
        <w:rPr>
          <w:rFonts w:eastAsia="Times New Roman" w:cs="Arial"/>
          <w:bCs/>
          <w:color w:val="44546A"/>
          <w:sz w:val="18"/>
          <w:szCs w:val="18"/>
          <w:lang w:val="en-GB" w:eastAsia="en-GB"/>
        </w:rPr>
      </w:pPr>
      <w:r w:rsidRPr="006E5790">
        <w:rPr>
          <w:rFonts w:eastAsia="Times New Roman" w:cs="Arial"/>
          <w:bCs/>
          <w:sz w:val="18"/>
          <w:szCs w:val="18"/>
          <w:lang w:val="en-GB" w:eastAsia="en-GB"/>
        </w:rPr>
        <w:t>DE4 3AG</w:t>
      </w:r>
      <w:r w:rsidRPr="006E5790">
        <w:rPr>
          <w:rFonts w:eastAsia="Times New Roman" w:cs="Arial"/>
          <w:bCs/>
          <w:color w:val="44546A"/>
          <w:sz w:val="18"/>
          <w:szCs w:val="18"/>
          <w:lang w:val="en-GB" w:eastAsia="en-GB"/>
        </w:rPr>
        <w:t xml:space="preserve"> </w:t>
      </w:r>
    </w:p>
    <w:p w14:paraId="00426E90" w14:textId="77777777" w:rsidR="006E5790" w:rsidRPr="006E5790" w:rsidRDefault="006E5790" w:rsidP="006E5790">
      <w:pPr>
        <w:spacing w:after="0" w:line="240" w:lineRule="auto"/>
        <w:ind w:left="-426" w:right="-472"/>
        <w:jc w:val="center"/>
        <w:rPr>
          <w:rFonts w:eastAsia="Times New Roman" w:cs="Arial"/>
          <w:bCs/>
          <w:sz w:val="18"/>
          <w:szCs w:val="18"/>
          <w:lang w:val="en-GB" w:eastAsia="en-GB"/>
        </w:rPr>
      </w:pPr>
    </w:p>
    <w:p w14:paraId="2859376E" w14:textId="5AA78843" w:rsidR="002D4A10" w:rsidRDefault="006E5790" w:rsidP="00BD7B0D">
      <w:pPr>
        <w:spacing w:after="0" w:line="240" w:lineRule="auto"/>
        <w:ind w:left="-426" w:right="-472"/>
        <w:jc w:val="center"/>
        <w:rPr>
          <w:sz w:val="16"/>
          <w:szCs w:val="14"/>
        </w:rPr>
      </w:pPr>
      <w:r w:rsidRPr="006E5790">
        <w:rPr>
          <w:rFonts w:eastAsia="Times New Roman" w:cs="Arial"/>
          <w:bCs/>
          <w:sz w:val="18"/>
          <w:szCs w:val="18"/>
          <w:lang w:val="en-GB" w:eastAsia="en-GB"/>
        </w:rPr>
        <w:t xml:space="preserve">Email: </w:t>
      </w:r>
      <w:hyperlink r:id="rId13" w:history="1">
        <w:r w:rsidRPr="006E5790">
          <w:rPr>
            <w:rFonts w:eastAsia="Times New Roman" w:cs="Arial"/>
            <w:bCs/>
            <w:color w:val="0563C1"/>
            <w:sz w:val="18"/>
            <w:szCs w:val="18"/>
            <w:u w:val="single"/>
            <w:lang w:val="en-GB" w:eastAsia="en-GB"/>
          </w:rPr>
          <w:t>healthandsafety.enquiries@derbyshire.gov.uk</w:t>
        </w:r>
      </w:hyperlink>
    </w:p>
    <w:p w14:paraId="1E39AEBD" w14:textId="77777777" w:rsidR="00BB0D4E" w:rsidRDefault="00BB0D4E" w:rsidP="00BD7B0D">
      <w:pPr>
        <w:spacing w:after="0" w:line="240" w:lineRule="auto"/>
        <w:ind w:left="-426" w:right="-472"/>
        <w:jc w:val="center"/>
        <w:rPr>
          <w:sz w:val="16"/>
          <w:szCs w:val="14"/>
        </w:rPr>
      </w:pPr>
    </w:p>
    <w:tbl>
      <w:tblPr>
        <w:tblpPr w:leftFromText="180" w:rightFromText="180" w:vertAnchor="text" w:horzAnchor="margin" w:tblpY="124"/>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5103"/>
      </w:tblGrid>
      <w:tr w:rsidR="00BB0D4E" w:rsidRPr="007D278D" w14:paraId="03CD34B8" w14:textId="77777777" w:rsidTr="00E9009E">
        <w:trPr>
          <w:trHeight w:val="275"/>
        </w:trPr>
        <w:tc>
          <w:tcPr>
            <w:tcW w:w="4390" w:type="dxa"/>
            <w:shd w:val="clear" w:color="auto" w:fill="D9D9D9"/>
            <w:vAlign w:val="center"/>
          </w:tcPr>
          <w:p w14:paraId="3C252113" w14:textId="77777777" w:rsidR="00BB0D4E" w:rsidRPr="00C64E07" w:rsidRDefault="00BB0D4E" w:rsidP="00E9009E">
            <w:pPr>
              <w:spacing w:line="480" w:lineRule="auto"/>
              <w:jc w:val="center"/>
              <w:rPr>
                <w:rFonts w:cs="Arial"/>
                <w:b/>
                <w:bCs/>
                <w:sz w:val="20"/>
                <w:szCs w:val="20"/>
              </w:rPr>
            </w:pPr>
            <w:r w:rsidRPr="00C64E07">
              <w:rPr>
                <w:rFonts w:cs="Arial"/>
                <w:b/>
                <w:bCs/>
                <w:sz w:val="20"/>
                <w:szCs w:val="20"/>
              </w:rPr>
              <w:t>Date Last Updated</w:t>
            </w:r>
          </w:p>
        </w:tc>
        <w:tc>
          <w:tcPr>
            <w:tcW w:w="5103" w:type="dxa"/>
            <w:shd w:val="clear" w:color="auto" w:fill="D9D9D9"/>
            <w:vAlign w:val="center"/>
          </w:tcPr>
          <w:p w14:paraId="7772A267" w14:textId="77777777" w:rsidR="00BB0D4E" w:rsidRPr="00C64E07" w:rsidRDefault="00BB0D4E" w:rsidP="00E9009E">
            <w:pPr>
              <w:spacing w:line="480" w:lineRule="auto"/>
              <w:jc w:val="center"/>
              <w:rPr>
                <w:rFonts w:cs="Arial"/>
                <w:b/>
                <w:bCs/>
                <w:sz w:val="20"/>
              </w:rPr>
            </w:pPr>
            <w:r w:rsidRPr="00C64E07">
              <w:rPr>
                <w:rFonts w:cs="Arial"/>
                <w:b/>
                <w:bCs/>
                <w:sz w:val="20"/>
              </w:rPr>
              <w:t>Confirmed Current</w:t>
            </w:r>
          </w:p>
        </w:tc>
      </w:tr>
      <w:tr w:rsidR="00BB0D4E" w:rsidRPr="007D278D" w14:paraId="54957B48" w14:textId="77777777" w:rsidTr="00E9009E">
        <w:trPr>
          <w:trHeight w:val="284"/>
        </w:trPr>
        <w:tc>
          <w:tcPr>
            <w:tcW w:w="4390" w:type="dxa"/>
            <w:shd w:val="clear" w:color="auto" w:fill="FFFFFF"/>
            <w:vAlign w:val="center"/>
          </w:tcPr>
          <w:p w14:paraId="726C2E83" w14:textId="77777777" w:rsidR="00BB0D4E" w:rsidRPr="00C64E07" w:rsidRDefault="00BB0D4E" w:rsidP="00E9009E">
            <w:pPr>
              <w:spacing w:line="480" w:lineRule="auto"/>
              <w:jc w:val="center"/>
              <w:rPr>
                <w:rFonts w:cs="Arial"/>
              </w:rPr>
            </w:pPr>
            <w:r w:rsidRPr="00C64E07">
              <w:rPr>
                <w:rFonts w:cs="Arial"/>
              </w:rPr>
              <w:t>August 2026</w:t>
            </w:r>
          </w:p>
        </w:tc>
        <w:tc>
          <w:tcPr>
            <w:tcW w:w="5103" w:type="dxa"/>
            <w:shd w:val="clear" w:color="auto" w:fill="FFFFFF"/>
            <w:vAlign w:val="center"/>
          </w:tcPr>
          <w:p w14:paraId="3B415638" w14:textId="77777777" w:rsidR="00BB0D4E" w:rsidRPr="00C64E07" w:rsidRDefault="00BB0D4E" w:rsidP="00E9009E">
            <w:pPr>
              <w:spacing w:line="480" w:lineRule="auto"/>
              <w:jc w:val="center"/>
              <w:rPr>
                <w:rFonts w:cs="Arial"/>
                <w:sz w:val="20"/>
              </w:rPr>
            </w:pPr>
          </w:p>
        </w:tc>
      </w:tr>
    </w:tbl>
    <w:p w14:paraId="37290803" w14:textId="77777777" w:rsidR="00BB0D4E" w:rsidRPr="00BD7B0D" w:rsidRDefault="00BB0D4E" w:rsidP="00BD7B0D">
      <w:pPr>
        <w:spacing w:after="0" w:line="240" w:lineRule="auto"/>
        <w:ind w:left="-426" w:right="-472"/>
        <w:jc w:val="center"/>
        <w:rPr>
          <w:rFonts w:eastAsia="Times New Roman" w:cs="Arial"/>
          <w:bCs/>
          <w:sz w:val="18"/>
          <w:szCs w:val="18"/>
          <w:lang w:val="en-GB" w:eastAsia="en-GB"/>
        </w:rPr>
      </w:pPr>
    </w:p>
    <w:p w14:paraId="056B4165" w14:textId="0B5F25C7" w:rsidR="00E52E31" w:rsidRPr="00763108" w:rsidRDefault="002D4A10" w:rsidP="6B9106D2">
      <w:pPr>
        <w:spacing w:after="0" w:line="240" w:lineRule="auto"/>
        <w:rPr>
          <w:rFonts w:eastAsia="Times New Roman" w:cs="Arial"/>
          <w:b/>
          <w:bCs/>
          <w:lang w:val="en-GB" w:eastAsia="en-GB"/>
        </w:rPr>
      </w:pPr>
      <w:r w:rsidRPr="6B9106D2">
        <w:rPr>
          <w:rFonts w:eastAsia="Times New Roman" w:cs="Arial"/>
          <w:b/>
          <w:bCs/>
          <w:lang w:val="en-GB" w:eastAsia="en-GB"/>
        </w:rPr>
        <w:lastRenderedPageBreak/>
        <w:t>202</w:t>
      </w:r>
      <w:r w:rsidR="00147AFC" w:rsidRPr="6B9106D2">
        <w:rPr>
          <w:rFonts w:eastAsia="Times New Roman" w:cs="Arial"/>
          <w:b/>
          <w:bCs/>
          <w:lang w:val="en-GB" w:eastAsia="en-GB"/>
        </w:rPr>
        <w:t>6</w:t>
      </w:r>
      <w:r w:rsidRPr="6B9106D2">
        <w:rPr>
          <w:rFonts w:eastAsia="Times New Roman" w:cs="Arial"/>
          <w:b/>
          <w:bCs/>
          <w:lang w:val="en-GB" w:eastAsia="en-GB"/>
        </w:rPr>
        <w:t>.0</w:t>
      </w:r>
      <w:r w:rsidR="003B11A5" w:rsidRPr="6B9106D2">
        <w:rPr>
          <w:rFonts w:eastAsia="Times New Roman" w:cs="Arial"/>
          <w:b/>
          <w:bCs/>
          <w:lang w:val="en-GB" w:eastAsia="en-GB"/>
        </w:rPr>
        <w:t>8</w:t>
      </w:r>
      <w:r w:rsidRPr="6B9106D2">
        <w:rPr>
          <w:rFonts w:eastAsia="Times New Roman" w:cs="Arial"/>
          <w:b/>
          <w:bCs/>
          <w:lang w:val="en-GB" w:eastAsia="en-GB"/>
        </w:rPr>
        <w:t xml:space="preserve"> V</w:t>
      </w:r>
      <w:r w:rsidR="2EFB3FFD" w:rsidRPr="6B9106D2">
        <w:rPr>
          <w:rFonts w:eastAsia="Times New Roman" w:cs="Arial"/>
          <w:b/>
          <w:bCs/>
          <w:lang w:val="en-GB" w:eastAsia="en-GB"/>
        </w:rPr>
        <w:t>1</w:t>
      </w:r>
    </w:p>
    <w:p w14:paraId="14969424" w14:textId="2A95BF71" w:rsidR="00457188" w:rsidRPr="00763108" w:rsidRDefault="00A4489E" w:rsidP="00763108">
      <w:pPr>
        <w:spacing w:line="240" w:lineRule="auto"/>
        <w:rPr>
          <w:iCs/>
        </w:rPr>
      </w:pPr>
      <w:r w:rsidRPr="00763108">
        <w:rPr>
          <w:iCs/>
        </w:rPr>
        <w:br w:type="page"/>
      </w:r>
      <w:r w:rsidR="00457188" w:rsidRPr="00A21752">
        <w:rPr>
          <w:rFonts w:cs="Arial"/>
          <w:b/>
          <w:bCs/>
          <w:iCs/>
          <w:color w:val="800080"/>
          <w:szCs w:val="24"/>
        </w:rPr>
        <w:t>Content</w:t>
      </w:r>
      <w:r w:rsidR="00D73EB3">
        <w:rPr>
          <w:rFonts w:cs="Arial"/>
          <w:b/>
          <w:bCs/>
          <w:iCs/>
          <w:color w:val="800080"/>
          <w:szCs w:val="24"/>
        </w:rPr>
        <w: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75"/>
        <w:gridCol w:w="7405"/>
        <w:gridCol w:w="636"/>
      </w:tblGrid>
      <w:tr w:rsidR="00A4489E" w:rsidRPr="00A21752" w14:paraId="7D8EEF8A" w14:textId="77777777" w:rsidTr="00D73EB3">
        <w:trPr>
          <w:tblHeader/>
          <w:tblCellSpacing w:w="15" w:type="dxa"/>
        </w:trPr>
        <w:tc>
          <w:tcPr>
            <w:tcW w:w="8035" w:type="dxa"/>
            <w:gridSpan w:val="2"/>
            <w:vAlign w:val="center"/>
            <w:hideMark/>
          </w:tcPr>
          <w:p w14:paraId="12254E1E" w14:textId="5D901DF1" w:rsidR="00A4489E" w:rsidRPr="00A21752" w:rsidRDefault="00A4489E" w:rsidP="008A0C07">
            <w:pPr>
              <w:pStyle w:val="NoSpacing"/>
              <w:spacing w:line="276" w:lineRule="auto"/>
              <w:rPr>
                <w:rFonts w:ascii="Arial" w:hAnsi="Arial" w:cs="Arial"/>
                <w:sz w:val="24"/>
                <w:szCs w:val="24"/>
                <w:lang w:val="en-GB"/>
              </w:rPr>
            </w:pPr>
            <w:r w:rsidRPr="00A21752">
              <w:rPr>
                <w:rFonts w:ascii="Arial" w:hAnsi="Arial" w:cs="Arial"/>
                <w:color w:val="800080"/>
                <w:sz w:val="24"/>
                <w:szCs w:val="24"/>
                <w:lang w:val="en-GB"/>
              </w:rPr>
              <w:t>Section</w:t>
            </w:r>
            <w:r w:rsidR="00A21752">
              <w:rPr>
                <w:rFonts w:ascii="Arial" w:hAnsi="Arial" w:cs="Arial"/>
                <w:color w:val="800080"/>
                <w:sz w:val="24"/>
                <w:szCs w:val="24"/>
                <w:lang w:val="en-GB"/>
              </w:rPr>
              <w:t>s</w:t>
            </w:r>
          </w:p>
        </w:tc>
        <w:tc>
          <w:tcPr>
            <w:tcW w:w="591" w:type="dxa"/>
            <w:vAlign w:val="center"/>
            <w:hideMark/>
          </w:tcPr>
          <w:p w14:paraId="3C32A273" w14:textId="77777777" w:rsidR="00A4489E" w:rsidRPr="00A21752" w:rsidRDefault="00A4489E" w:rsidP="008A0C07">
            <w:pPr>
              <w:pStyle w:val="NoSpacing"/>
              <w:spacing w:line="276" w:lineRule="auto"/>
              <w:rPr>
                <w:rFonts w:ascii="Arial" w:hAnsi="Arial" w:cs="Arial"/>
                <w:color w:val="800080"/>
                <w:sz w:val="24"/>
                <w:szCs w:val="24"/>
                <w:lang w:val="en-GB"/>
              </w:rPr>
            </w:pPr>
            <w:r w:rsidRPr="00A21752">
              <w:rPr>
                <w:rFonts w:ascii="Arial" w:hAnsi="Arial" w:cs="Arial"/>
                <w:color w:val="800080"/>
                <w:sz w:val="24"/>
                <w:szCs w:val="24"/>
                <w:lang w:val="en-GB"/>
              </w:rPr>
              <w:t>Page</w:t>
            </w:r>
          </w:p>
        </w:tc>
      </w:tr>
      <w:tr w:rsidR="00DB4013" w:rsidRPr="00A21752" w14:paraId="591BE96D" w14:textId="77777777" w:rsidTr="0062631A">
        <w:trPr>
          <w:tblCellSpacing w:w="15" w:type="dxa"/>
        </w:trPr>
        <w:tc>
          <w:tcPr>
            <w:tcW w:w="8035" w:type="dxa"/>
            <w:gridSpan w:val="2"/>
            <w:vAlign w:val="center"/>
            <w:hideMark/>
          </w:tcPr>
          <w:p w14:paraId="6F887232" w14:textId="77777777" w:rsidR="00DB4013" w:rsidRPr="0038672B" w:rsidRDefault="00DB4013" w:rsidP="00DB4013">
            <w:pPr>
              <w:pStyle w:val="NoSpacing"/>
              <w:spacing w:line="276" w:lineRule="auto"/>
              <w:rPr>
                <w:rFonts w:ascii="Arial" w:hAnsi="Arial" w:cs="Arial"/>
                <w:sz w:val="24"/>
                <w:szCs w:val="24"/>
                <w:lang w:val="en-GB"/>
              </w:rPr>
            </w:pPr>
            <w:r w:rsidRPr="0038672B">
              <w:rPr>
                <w:rFonts w:ascii="Arial" w:hAnsi="Arial" w:cs="Arial"/>
                <w:sz w:val="24"/>
                <w:szCs w:val="24"/>
                <w:lang w:val="en-GB"/>
              </w:rPr>
              <w:t>Definitions</w:t>
            </w:r>
          </w:p>
        </w:tc>
        <w:tc>
          <w:tcPr>
            <w:tcW w:w="591" w:type="dxa"/>
            <w:hideMark/>
          </w:tcPr>
          <w:p w14:paraId="6091EC1C" w14:textId="76E04A4B"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3</w:t>
            </w:r>
          </w:p>
        </w:tc>
      </w:tr>
      <w:tr w:rsidR="00DB4013" w:rsidRPr="00A21752" w14:paraId="05673619" w14:textId="77777777" w:rsidTr="0062631A">
        <w:trPr>
          <w:tblCellSpacing w:w="15" w:type="dxa"/>
        </w:trPr>
        <w:tc>
          <w:tcPr>
            <w:tcW w:w="8035" w:type="dxa"/>
            <w:gridSpan w:val="2"/>
            <w:vAlign w:val="center"/>
            <w:hideMark/>
          </w:tcPr>
          <w:p w14:paraId="1ED6F316" w14:textId="63156616" w:rsidR="00DB4013" w:rsidRPr="0038672B" w:rsidRDefault="00DB4013" w:rsidP="00DB4013">
            <w:pPr>
              <w:pStyle w:val="NoSpacing"/>
              <w:spacing w:line="276" w:lineRule="auto"/>
              <w:rPr>
                <w:rFonts w:ascii="Arial" w:hAnsi="Arial" w:cs="Arial"/>
                <w:lang w:val="en-GB"/>
              </w:rPr>
            </w:pPr>
            <w:r w:rsidRPr="0038672B">
              <w:rPr>
                <w:rFonts w:ascii="Arial" w:hAnsi="Arial" w:cs="Arial"/>
                <w:sz w:val="24"/>
                <w:szCs w:val="24"/>
                <w:lang w:val="en-GB"/>
              </w:rPr>
              <w:t xml:space="preserve">Document Control </w:t>
            </w:r>
          </w:p>
        </w:tc>
        <w:tc>
          <w:tcPr>
            <w:tcW w:w="591" w:type="dxa"/>
            <w:hideMark/>
          </w:tcPr>
          <w:p w14:paraId="37384977" w14:textId="2D23E2A2"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4</w:t>
            </w:r>
          </w:p>
        </w:tc>
      </w:tr>
      <w:tr w:rsidR="00DB4013" w:rsidRPr="00A21752" w14:paraId="2DC1C56E" w14:textId="77777777" w:rsidTr="0062631A">
        <w:trPr>
          <w:tblCellSpacing w:w="15" w:type="dxa"/>
        </w:trPr>
        <w:tc>
          <w:tcPr>
            <w:tcW w:w="8035" w:type="dxa"/>
            <w:gridSpan w:val="2"/>
            <w:vAlign w:val="center"/>
            <w:hideMark/>
          </w:tcPr>
          <w:p w14:paraId="639304B8" w14:textId="70DF8E8F" w:rsidR="00DB4013" w:rsidRPr="0038672B" w:rsidRDefault="00DB4013" w:rsidP="00DB4013">
            <w:pPr>
              <w:pStyle w:val="NoSpacing"/>
              <w:spacing w:line="276" w:lineRule="auto"/>
              <w:rPr>
                <w:rFonts w:ascii="Arial" w:hAnsi="Arial" w:cs="Arial"/>
                <w:sz w:val="24"/>
                <w:szCs w:val="24"/>
                <w:lang w:val="en-GB"/>
              </w:rPr>
            </w:pPr>
            <w:r w:rsidRPr="0038672B">
              <w:rPr>
                <w:rFonts w:ascii="Arial" w:hAnsi="Arial" w:cs="Arial"/>
                <w:color w:val="000000" w:themeColor="text1"/>
                <w:sz w:val="24"/>
                <w:szCs w:val="24"/>
                <w:lang w:val="en-GB"/>
              </w:rPr>
              <w:t>Governance Oversight</w:t>
            </w:r>
            <w:r w:rsidRPr="0038672B">
              <w:rPr>
                <w:rFonts w:ascii="Arial" w:hAnsi="Arial" w:cs="Arial"/>
                <w:sz w:val="24"/>
                <w:szCs w:val="24"/>
                <w:lang w:val="en-GB"/>
              </w:rPr>
              <w:t xml:space="preserve"> </w:t>
            </w:r>
            <w:r>
              <w:rPr>
                <w:rFonts w:ascii="Arial" w:hAnsi="Arial" w:cs="Arial"/>
                <w:sz w:val="24"/>
                <w:szCs w:val="24"/>
                <w:lang w:val="en-GB"/>
              </w:rPr>
              <w:t xml:space="preserve">and </w:t>
            </w:r>
            <w:r w:rsidRPr="0038672B">
              <w:rPr>
                <w:rFonts w:ascii="Arial" w:hAnsi="Arial" w:cs="Arial"/>
                <w:sz w:val="24"/>
                <w:szCs w:val="24"/>
                <w:lang w:val="en-GB"/>
              </w:rPr>
              <w:t>Named Allergy and Anaphylaxis Leads</w:t>
            </w:r>
          </w:p>
        </w:tc>
        <w:tc>
          <w:tcPr>
            <w:tcW w:w="591" w:type="dxa"/>
            <w:hideMark/>
          </w:tcPr>
          <w:p w14:paraId="1A28E40F" w14:textId="02DE3E5B"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5</w:t>
            </w:r>
          </w:p>
        </w:tc>
      </w:tr>
      <w:tr w:rsidR="00DB4013" w:rsidRPr="00A21752" w14:paraId="6DC0023F" w14:textId="77777777" w:rsidTr="0062631A">
        <w:trPr>
          <w:tblCellSpacing w:w="15" w:type="dxa"/>
        </w:trPr>
        <w:tc>
          <w:tcPr>
            <w:tcW w:w="8035" w:type="dxa"/>
            <w:gridSpan w:val="2"/>
            <w:vAlign w:val="center"/>
            <w:hideMark/>
          </w:tcPr>
          <w:p w14:paraId="7DBFC65A" w14:textId="77777777" w:rsidR="00DB4013" w:rsidRPr="0038672B" w:rsidRDefault="00DB4013" w:rsidP="00DB4013">
            <w:pPr>
              <w:pStyle w:val="NoSpacing"/>
              <w:spacing w:line="276" w:lineRule="auto"/>
              <w:rPr>
                <w:rFonts w:ascii="Arial" w:hAnsi="Arial" w:cs="Arial"/>
                <w:sz w:val="24"/>
                <w:szCs w:val="24"/>
                <w:lang w:val="en-GB"/>
              </w:rPr>
            </w:pPr>
            <w:r w:rsidRPr="0038672B">
              <w:rPr>
                <w:rFonts w:ascii="Arial" w:hAnsi="Arial" w:cs="Arial"/>
                <w:sz w:val="24"/>
                <w:szCs w:val="24"/>
                <w:lang w:val="en-GB"/>
              </w:rPr>
              <w:t>1. Statement of Intent</w:t>
            </w:r>
          </w:p>
        </w:tc>
        <w:tc>
          <w:tcPr>
            <w:tcW w:w="591" w:type="dxa"/>
            <w:hideMark/>
          </w:tcPr>
          <w:p w14:paraId="41297025" w14:textId="6FD2C6F0"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6</w:t>
            </w:r>
          </w:p>
        </w:tc>
      </w:tr>
      <w:tr w:rsidR="00DB4013" w:rsidRPr="00A21752" w14:paraId="302E5294" w14:textId="77777777" w:rsidTr="0062631A">
        <w:trPr>
          <w:tblCellSpacing w:w="15" w:type="dxa"/>
        </w:trPr>
        <w:tc>
          <w:tcPr>
            <w:tcW w:w="8035" w:type="dxa"/>
            <w:gridSpan w:val="2"/>
            <w:vAlign w:val="center"/>
            <w:hideMark/>
          </w:tcPr>
          <w:p w14:paraId="7A231DAC" w14:textId="77777777" w:rsidR="00DB4013" w:rsidRPr="0038672B" w:rsidRDefault="00DB4013" w:rsidP="00DB4013">
            <w:pPr>
              <w:pStyle w:val="NoSpacing"/>
              <w:spacing w:line="276" w:lineRule="auto"/>
              <w:rPr>
                <w:rFonts w:ascii="Arial" w:hAnsi="Arial" w:cs="Arial"/>
                <w:sz w:val="24"/>
                <w:szCs w:val="24"/>
                <w:lang w:val="en-GB"/>
              </w:rPr>
            </w:pPr>
            <w:r w:rsidRPr="0038672B">
              <w:rPr>
                <w:rFonts w:ascii="Arial" w:hAnsi="Arial" w:cs="Arial"/>
                <w:sz w:val="24"/>
                <w:szCs w:val="24"/>
                <w:lang w:val="en-GB"/>
              </w:rPr>
              <w:t>2. Scope</w:t>
            </w:r>
          </w:p>
        </w:tc>
        <w:tc>
          <w:tcPr>
            <w:tcW w:w="591" w:type="dxa"/>
            <w:hideMark/>
          </w:tcPr>
          <w:p w14:paraId="30365A2E" w14:textId="5FD6E621"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7</w:t>
            </w:r>
          </w:p>
        </w:tc>
      </w:tr>
      <w:tr w:rsidR="00DB4013" w:rsidRPr="00A21752" w14:paraId="47FD4552" w14:textId="77777777" w:rsidTr="0062631A">
        <w:trPr>
          <w:tblCellSpacing w:w="15" w:type="dxa"/>
        </w:trPr>
        <w:tc>
          <w:tcPr>
            <w:tcW w:w="8035" w:type="dxa"/>
            <w:gridSpan w:val="2"/>
            <w:vAlign w:val="center"/>
            <w:hideMark/>
          </w:tcPr>
          <w:p w14:paraId="7C22D69F" w14:textId="77777777" w:rsidR="00DB4013" w:rsidRPr="0038672B" w:rsidRDefault="00DB4013" w:rsidP="00DB4013">
            <w:pPr>
              <w:pStyle w:val="NoSpacing"/>
              <w:spacing w:line="276" w:lineRule="auto"/>
              <w:rPr>
                <w:rFonts w:ascii="Arial" w:hAnsi="Arial" w:cs="Arial"/>
                <w:sz w:val="24"/>
                <w:szCs w:val="24"/>
                <w:lang w:val="en-GB"/>
              </w:rPr>
            </w:pPr>
            <w:r w:rsidRPr="0038672B">
              <w:rPr>
                <w:rFonts w:ascii="Arial" w:hAnsi="Arial" w:cs="Arial"/>
                <w:sz w:val="24"/>
                <w:szCs w:val="24"/>
                <w:lang w:val="en-GB"/>
              </w:rPr>
              <w:t>3. Legal and Guidance Context</w:t>
            </w:r>
          </w:p>
        </w:tc>
        <w:tc>
          <w:tcPr>
            <w:tcW w:w="591" w:type="dxa"/>
            <w:hideMark/>
          </w:tcPr>
          <w:p w14:paraId="5F909050" w14:textId="19D1A336"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7</w:t>
            </w:r>
          </w:p>
        </w:tc>
      </w:tr>
      <w:tr w:rsidR="00DB4013" w:rsidRPr="00A21752" w14:paraId="23EFA870" w14:textId="77777777" w:rsidTr="0062631A">
        <w:trPr>
          <w:tblCellSpacing w:w="15" w:type="dxa"/>
        </w:trPr>
        <w:tc>
          <w:tcPr>
            <w:tcW w:w="8035" w:type="dxa"/>
            <w:gridSpan w:val="2"/>
            <w:vAlign w:val="center"/>
            <w:hideMark/>
          </w:tcPr>
          <w:p w14:paraId="5A594915" w14:textId="77777777" w:rsidR="00DB4013" w:rsidRPr="0038672B" w:rsidRDefault="00DB4013" w:rsidP="00DB4013">
            <w:pPr>
              <w:pStyle w:val="NoSpacing"/>
              <w:spacing w:line="276" w:lineRule="auto"/>
              <w:rPr>
                <w:rFonts w:ascii="Arial" w:hAnsi="Arial" w:cs="Arial"/>
                <w:sz w:val="24"/>
                <w:szCs w:val="24"/>
                <w:lang w:val="en-GB"/>
              </w:rPr>
            </w:pPr>
            <w:r w:rsidRPr="0038672B">
              <w:rPr>
                <w:rFonts w:ascii="Arial" w:hAnsi="Arial" w:cs="Arial"/>
                <w:sz w:val="24"/>
                <w:szCs w:val="24"/>
                <w:lang w:val="en-GB"/>
              </w:rPr>
              <w:t>4. Whole-School Allergy Safety Principles</w:t>
            </w:r>
          </w:p>
        </w:tc>
        <w:tc>
          <w:tcPr>
            <w:tcW w:w="591" w:type="dxa"/>
            <w:hideMark/>
          </w:tcPr>
          <w:p w14:paraId="2E5592DB" w14:textId="31C9AC35"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8</w:t>
            </w:r>
          </w:p>
        </w:tc>
      </w:tr>
      <w:tr w:rsidR="00DB4013" w:rsidRPr="00A21752" w14:paraId="60134383" w14:textId="77777777" w:rsidTr="0062631A">
        <w:trPr>
          <w:tblCellSpacing w:w="15" w:type="dxa"/>
        </w:trPr>
        <w:tc>
          <w:tcPr>
            <w:tcW w:w="8035" w:type="dxa"/>
            <w:gridSpan w:val="2"/>
            <w:vAlign w:val="center"/>
            <w:hideMark/>
          </w:tcPr>
          <w:p w14:paraId="3C1D921A" w14:textId="77777777" w:rsidR="00DB4013" w:rsidRPr="0038672B" w:rsidRDefault="00DB4013" w:rsidP="00DB4013">
            <w:pPr>
              <w:pStyle w:val="NoSpacing"/>
              <w:spacing w:line="276" w:lineRule="auto"/>
              <w:rPr>
                <w:rFonts w:ascii="Arial" w:hAnsi="Arial" w:cs="Arial"/>
                <w:sz w:val="24"/>
                <w:szCs w:val="24"/>
                <w:lang w:val="en-GB"/>
              </w:rPr>
            </w:pPr>
            <w:r w:rsidRPr="0038672B">
              <w:rPr>
                <w:rFonts w:ascii="Arial" w:hAnsi="Arial" w:cs="Arial"/>
                <w:sz w:val="24"/>
                <w:szCs w:val="24"/>
                <w:lang w:val="en-GB"/>
              </w:rPr>
              <w:t>5. Roles and Responsibilities</w:t>
            </w:r>
          </w:p>
        </w:tc>
        <w:tc>
          <w:tcPr>
            <w:tcW w:w="591" w:type="dxa"/>
            <w:hideMark/>
          </w:tcPr>
          <w:p w14:paraId="557AB8E0" w14:textId="56819BFC"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8</w:t>
            </w:r>
          </w:p>
        </w:tc>
      </w:tr>
      <w:tr w:rsidR="00DB4013" w:rsidRPr="00A21752" w14:paraId="4A96C47C" w14:textId="77777777" w:rsidTr="0062631A">
        <w:trPr>
          <w:gridBefore w:val="1"/>
          <w:wBefore w:w="630" w:type="dxa"/>
          <w:tblCellSpacing w:w="15" w:type="dxa"/>
        </w:trPr>
        <w:tc>
          <w:tcPr>
            <w:tcW w:w="7375" w:type="dxa"/>
            <w:vAlign w:val="center"/>
            <w:hideMark/>
          </w:tcPr>
          <w:p w14:paraId="5E11E622" w14:textId="77777777" w:rsidR="00DB4013" w:rsidRPr="00A21752" w:rsidRDefault="00DB4013" w:rsidP="00DB4013">
            <w:pPr>
              <w:pStyle w:val="NoSpacing"/>
              <w:spacing w:line="276" w:lineRule="auto"/>
              <w:rPr>
                <w:rFonts w:ascii="Arial" w:hAnsi="Arial" w:cs="Arial"/>
                <w:sz w:val="24"/>
                <w:szCs w:val="24"/>
                <w:lang w:val="en-GB"/>
              </w:rPr>
            </w:pPr>
            <w:r w:rsidRPr="00A21752">
              <w:rPr>
                <w:rFonts w:ascii="Arial" w:hAnsi="Arial" w:cs="Arial"/>
                <w:sz w:val="24"/>
                <w:szCs w:val="24"/>
                <w:lang w:val="en-GB"/>
              </w:rPr>
              <w:t>5.1 Governing Body or Trust Board</w:t>
            </w:r>
          </w:p>
        </w:tc>
        <w:tc>
          <w:tcPr>
            <w:tcW w:w="591" w:type="dxa"/>
            <w:hideMark/>
          </w:tcPr>
          <w:p w14:paraId="6FB6959E" w14:textId="42AD64BA"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8</w:t>
            </w:r>
          </w:p>
        </w:tc>
      </w:tr>
      <w:tr w:rsidR="00DB4013" w:rsidRPr="00A21752" w14:paraId="6037493C" w14:textId="77777777" w:rsidTr="0062631A">
        <w:trPr>
          <w:gridBefore w:val="1"/>
          <w:wBefore w:w="630" w:type="dxa"/>
          <w:tblCellSpacing w:w="15" w:type="dxa"/>
        </w:trPr>
        <w:tc>
          <w:tcPr>
            <w:tcW w:w="7375" w:type="dxa"/>
            <w:vAlign w:val="center"/>
            <w:hideMark/>
          </w:tcPr>
          <w:p w14:paraId="14FCAD14" w14:textId="77777777" w:rsidR="00DB4013" w:rsidRPr="00A21752" w:rsidRDefault="00DB4013" w:rsidP="00DB4013">
            <w:pPr>
              <w:pStyle w:val="NoSpacing"/>
              <w:spacing w:line="276" w:lineRule="auto"/>
              <w:rPr>
                <w:rFonts w:ascii="Arial" w:hAnsi="Arial" w:cs="Arial"/>
                <w:sz w:val="24"/>
                <w:szCs w:val="24"/>
                <w:lang w:val="en-GB"/>
              </w:rPr>
            </w:pPr>
            <w:r w:rsidRPr="00A21752">
              <w:rPr>
                <w:rFonts w:ascii="Arial" w:hAnsi="Arial" w:cs="Arial"/>
                <w:sz w:val="24"/>
                <w:szCs w:val="24"/>
                <w:lang w:val="en-GB"/>
              </w:rPr>
              <w:t>5.2 Headteacher or Principal</w:t>
            </w:r>
          </w:p>
        </w:tc>
        <w:tc>
          <w:tcPr>
            <w:tcW w:w="591" w:type="dxa"/>
            <w:hideMark/>
          </w:tcPr>
          <w:p w14:paraId="3C889E8D" w14:textId="7F2411FE"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9</w:t>
            </w:r>
          </w:p>
        </w:tc>
      </w:tr>
      <w:tr w:rsidR="00DB4013" w:rsidRPr="00A21752" w14:paraId="227B006F" w14:textId="77777777" w:rsidTr="0062631A">
        <w:trPr>
          <w:gridBefore w:val="1"/>
          <w:wBefore w:w="630" w:type="dxa"/>
          <w:tblCellSpacing w:w="15" w:type="dxa"/>
        </w:trPr>
        <w:tc>
          <w:tcPr>
            <w:tcW w:w="7375" w:type="dxa"/>
            <w:vAlign w:val="center"/>
            <w:hideMark/>
          </w:tcPr>
          <w:p w14:paraId="44015D9C" w14:textId="77777777" w:rsidR="00DB4013" w:rsidRPr="00A21752" w:rsidRDefault="00DB4013" w:rsidP="00DB4013">
            <w:pPr>
              <w:pStyle w:val="NoSpacing"/>
              <w:spacing w:line="276" w:lineRule="auto"/>
              <w:rPr>
                <w:rFonts w:ascii="Arial" w:hAnsi="Arial" w:cs="Arial"/>
                <w:sz w:val="24"/>
                <w:szCs w:val="24"/>
                <w:lang w:val="en-GB"/>
              </w:rPr>
            </w:pPr>
            <w:r w:rsidRPr="00A21752">
              <w:rPr>
                <w:rFonts w:ascii="Arial" w:hAnsi="Arial" w:cs="Arial"/>
                <w:sz w:val="24"/>
                <w:szCs w:val="24"/>
                <w:lang w:val="en-GB"/>
              </w:rPr>
              <w:t>5.3 Named Allergy and Anaphylaxis Leads or Medical Needs Lead</w:t>
            </w:r>
          </w:p>
        </w:tc>
        <w:tc>
          <w:tcPr>
            <w:tcW w:w="591" w:type="dxa"/>
            <w:hideMark/>
          </w:tcPr>
          <w:p w14:paraId="03710936" w14:textId="3226F773"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9</w:t>
            </w:r>
          </w:p>
        </w:tc>
      </w:tr>
      <w:tr w:rsidR="00DB4013" w:rsidRPr="00A21752" w14:paraId="59A1D1B1" w14:textId="77777777" w:rsidTr="0062631A">
        <w:trPr>
          <w:gridBefore w:val="1"/>
          <w:wBefore w:w="630" w:type="dxa"/>
          <w:tblCellSpacing w:w="15" w:type="dxa"/>
        </w:trPr>
        <w:tc>
          <w:tcPr>
            <w:tcW w:w="7375" w:type="dxa"/>
            <w:vAlign w:val="center"/>
            <w:hideMark/>
          </w:tcPr>
          <w:p w14:paraId="63CC756B" w14:textId="77777777" w:rsidR="00DB4013" w:rsidRPr="00A21752" w:rsidRDefault="00DB4013" w:rsidP="00DB4013">
            <w:pPr>
              <w:pStyle w:val="NoSpacing"/>
              <w:spacing w:line="276" w:lineRule="auto"/>
              <w:rPr>
                <w:rFonts w:ascii="Arial" w:hAnsi="Arial" w:cs="Arial"/>
                <w:sz w:val="24"/>
                <w:szCs w:val="24"/>
                <w:lang w:val="en-GB"/>
              </w:rPr>
            </w:pPr>
            <w:r w:rsidRPr="00A21752">
              <w:rPr>
                <w:rFonts w:ascii="Arial" w:hAnsi="Arial" w:cs="Arial"/>
                <w:sz w:val="24"/>
                <w:szCs w:val="24"/>
                <w:lang w:val="en-GB"/>
              </w:rPr>
              <w:t>5.4 All Staff</w:t>
            </w:r>
          </w:p>
        </w:tc>
        <w:tc>
          <w:tcPr>
            <w:tcW w:w="591" w:type="dxa"/>
            <w:hideMark/>
          </w:tcPr>
          <w:p w14:paraId="35C17492" w14:textId="55A262EE"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9</w:t>
            </w:r>
          </w:p>
        </w:tc>
      </w:tr>
      <w:tr w:rsidR="00DB4013" w:rsidRPr="00A21752" w14:paraId="07723A50" w14:textId="77777777" w:rsidTr="0062631A">
        <w:trPr>
          <w:gridBefore w:val="1"/>
          <w:wBefore w:w="630" w:type="dxa"/>
          <w:tblCellSpacing w:w="15" w:type="dxa"/>
        </w:trPr>
        <w:tc>
          <w:tcPr>
            <w:tcW w:w="7375" w:type="dxa"/>
            <w:vAlign w:val="center"/>
            <w:hideMark/>
          </w:tcPr>
          <w:p w14:paraId="2FF6462C" w14:textId="77777777" w:rsidR="00DB4013" w:rsidRPr="00A21752" w:rsidRDefault="00DB4013" w:rsidP="00DB4013">
            <w:pPr>
              <w:pStyle w:val="NoSpacing"/>
              <w:spacing w:line="276" w:lineRule="auto"/>
              <w:rPr>
                <w:rFonts w:ascii="Arial" w:hAnsi="Arial" w:cs="Arial"/>
                <w:sz w:val="24"/>
                <w:szCs w:val="24"/>
                <w:lang w:val="en-GB"/>
              </w:rPr>
            </w:pPr>
            <w:r w:rsidRPr="00A21752">
              <w:rPr>
                <w:rFonts w:ascii="Arial" w:hAnsi="Arial" w:cs="Arial"/>
                <w:sz w:val="24"/>
                <w:szCs w:val="24"/>
                <w:lang w:val="en-GB"/>
              </w:rPr>
              <w:t>5.5 Catering Provider or Catering Staff</w:t>
            </w:r>
          </w:p>
        </w:tc>
        <w:tc>
          <w:tcPr>
            <w:tcW w:w="591" w:type="dxa"/>
            <w:hideMark/>
          </w:tcPr>
          <w:p w14:paraId="15EEDBC8" w14:textId="6C881D60"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10</w:t>
            </w:r>
          </w:p>
        </w:tc>
      </w:tr>
      <w:tr w:rsidR="00DB4013" w:rsidRPr="00A21752" w14:paraId="6A598108" w14:textId="77777777" w:rsidTr="0062631A">
        <w:trPr>
          <w:gridBefore w:val="1"/>
          <w:wBefore w:w="630" w:type="dxa"/>
          <w:tblCellSpacing w:w="15" w:type="dxa"/>
        </w:trPr>
        <w:tc>
          <w:tcPr>
            <w:tcW w:w="7375" w:type="dxa"/>
            <w:vAlign w:val="center"/>
            <w:hideMark/>
          </w:tcPr>
          <w:p w14:paraId="4433BA72" w14:textId="77777777" w:rsidR="00DB4013" w:rsidRPr="00A21752" w:rsidRDefault="00DB4013" w:rsidP="00DB4013">
            <w:pPr>
              <w:pStyle w:val="NoSpacing"/>
              <w:spacing w:line="276" w:lineRule="auto"/>
              <w:rPr>
                <w:rFonts w:ascii="Arial" w:hAnsi="Arial" w:cs="Arial"/>
                <w:sz w:val="24"/>
                <w:szCs w:val="24"/>
                <w:lang w:val="en-GB"/>
              </w:rPr>
            </w:pPr>
            <w:r w:rsidRPr="00A21752">
              <w:rPr>
                <w:rFonts w:ascii="Arial" w:hAnsi="Arial" w:cs="Arial"/>
                <w:sz w:val="24"/>
                <w:szCs w:val="24"/>
                <w:lang w:val="en-GB"/>
              </w:rPr>
              <w:t>5.6 Parents and Carers</w:t>
            </w:r>
          </w:p>
        </w:tc>
        <w:tc>
          <w:tcPr>
            <w:tcW w:w="591" w:type="dxa"/>
            <w:hideMark/>
          </w:tcPr>
          <w:p w14:paraId="0F8487C6" w14:textId="58C951F2"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10</w:t>
            </w:r>
          </w:p>
        </w:tc>
      </w:tr>
      <w:tr w:rsidR="00DB4013" w:rsidRPr="00A21752" w14:paraId="3CCC2CDE" w14:textId="77777777" w:rsidTr="0062631A">
        <w:trPr>
          <w:gridBefore w:val="1"/>
          <w:wBefore w:w="630" w:type="dxa"/>
          <w:tblCellSpacing w:w="15" w:type="dxa"/>
        </w:trPr>
        <w:tc>
          <w:tcPr>
            <w:tcW w:w="7375" w:type="dxa"/>
            <w:vAlign w:val="center"/>
            <w:hideMark/>
          </w:tcPr>
          <w:p w14:paraId="06B80267" w14:textId="77777777" w:rsidR="00DB4013" w:rsidRPr="00A21752" w:rsidRDefault="00DB4013" w:rsidP="00DB4013">
            <w:pPr>
              <w:pStyle w:val="NoSpacing"/>
              <w:spacing w:line="276" w:lineRule="auto"/>
              <w:rPr>
                <w:rFonts w:ascii="Arial" w:hAnsi="Arial" w:cs="Arial"/>
                <w:sz w:val="24"/>
                <w:szCs w:val="24"/>
                <w:lang w:val="en-GB"/>
              </w:rPr>
            </w:pPr>
            <w:r w:rsidRPr="00A21752">
              <w:rPr>
                <w:rFonts w:ascii="Arial" w:hAnsi="Arial" w:cs="Arial"/>
                <w:sz w:val="24"/>
                <w:szCs w:val="24"/>
                <w:lang w:val="en-GB"/>
              </w:rPr>
              <w:t>5.7 Pupils</w:t>
            </w:r>
          </w:p>
        </w:tc>
        <w:tc>
          <w:tcPr>
            <w:tcW w:w="591" w:type="dxa"/>
            <w:hideMark/>
          </w:tcPr>
          <w:p w14:paraId="5C40CB82" w14:textId="0BFC01FD"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11</w:t>
            </w:r>
          </w:p>
        </w:tc>
      </w:tr>
      <w:tr w:rsidR="00DB4013" w:rsidRPr="00A21752" w14:paraId="0F859B0D" w14:textId="77777777" w:rsidTr="0062631A">
        <w:trPr>
          <w:tblCellSpacing w:w="15" w:type="dxa"/>
        </w:trPr>
        <w:tc>
          <w:tcPr>
            <w:tcW w:w="8035" w:type="dxa"/>
            <w:gridSpan w:val="2"/>
            <w:vAlign w:val="center"/>
            <w:hideMark/>
          </w:tcPr>
          <w:p w14:paraId="7FE2170A" w14:textId="77777777" w:rsidR="00DB4013" w:rsidRPr="0038672B" w:rsidRDefault="00DB4013" w:rsidP="00DB4013">
            <w:pPr>
              <w:pStyle w:val="NoSpacing"/>
              <w:spacing w:line="276" w:lineRule="auto"/>
              <w:rPr>
                <w:rFonts w:ascii="Arial" w:hAnsi="Arial" w:cs="Arial"/>
                <w:sz w:val="24"/>
                <w:szCs w:val="24"/>
                <w:lang w:val="en-GB"/>
              </w:rPr>
            </w:pPr>
            <w:r w:rsidRPr="0038672B">
              <w:rPr>
                <w:rFonts w:ascii="Arial" w:hAnsi="Arial" w:cs="Arial"/>
                <w:sz w:val="24"/>
                <w:szCs w:val="24"/>
                <w:lang w:val="en-GB"/>
              </w:rPr>
              <w:t>6. Identification of Pupils with Allergies</w:t>
            </w:r>
          </w:p>
        </w:tc>
        <w:tc>
          <w:tcPr>
            <w:tcW w:w="591" w:type="dxa"/>
            <w:hideMark/>
          </w:tcPr>
          <w:p w14:paraId="1F9AC509" w14:textId="335565EC"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11</w:t>
            </w:r>
          </w:p>
        </w:tc>
      </w:tr>
      <w:tr w:rsidR="00DB4013" w:rsidRPr="00A21752" w14:paraId="08B84109" w14:textId="77777777" w:rsidTr="0062631A">
        <w:trPr>
          <w:tblCellSpacing w:w="15" w:type="dxa"/>
        </w:trPr>
        <w:tc>
          <w:tcPr>
            <w:tcW w:w="8035" w:type="dxa"/>
            <w:gridSpan w:val="2"/>
            <w:vAlign w:val="center"/>
            <w:hideMark/>
          </w:tcPr>
          <w:p w14:paraId="1399FEB8" w14:textId="77777777" w:rsidR="00DB4013" w:rsidRPr="0038672B" w:rsidRDefault="00DB4013" w:rsidP="00DB4013">
            <w:pPr>
              <w:pStyle w:val="NoSpacing"/>
              <w:spacing w:line="276" w:lineRule="auto"/>
              <w:rPr>
                <w:rFonts w:ascii="Arial" w:hAnsi="Arial" w:cs="Arial"/>
                <w:sz w:val="24"/>
                <w:szCs w:val="24"/>
                <w:lang w:val="en-GB"/>
              </w:rPr>
            </w:pPr>
            <w:r w:rsidRPr="0038672B">
              <w:rPr>
                <w:rFonts w:ascii="Arial" w:hAnsi="Arial" w:cs="Arial"/>
                <w:sz w:val="24"/>
                <w:szCs w:val="24"/>
                <w:lang w:val="en-GB"/>
              </w:rPr>
              <w:t>7. Allergy Action Plans and Individual Healthcare Plans</w:t>
            </w:r>
          </w:p>
        </w:tc>
        <w:tc>
          <w:tcPr>
            <w:tcW w:w="591" w:type="dxa"/>
            <w:hideMark/>
          </w:tcPr>
          <w:p w14:paraId="15CD86C7" w14:textId="598AB445"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11</w:t>
            </w:r>
          </w:p>
        </w:tc>
      </w:tr>
      <w:tr w:rsidR="00DB4013" w:rsidRPr="00A21752" w14:paraId="195A9A57" w14:textId="77777777" w:rsidTr="0062631A">
        <w:trPr>
          <w:tblCellSpacing w:w="15" w:type="dxa"/>
        </w:trPr>
        <w:tc>
          <w:tcPr>
            <w:tcW w:w="8035" w:type="dxa"/>
            <w:gridSpan w:val="2"/>
            <w:vAlign w:val="center"/>
            <w:hideMark/>
          </w:tcPr>
          <w:p w14:paraId="1FA3A75A" w14:textId="77777777" w:rsidR="00DB4013" w:rsidRPr="0038672B" w:rsidRDefault="00DB4013" w:rsidP="00DB4013">
            <w:pPr>
              <w:pStyle w:val="NoSpacing"/>
              <w:spacing w:line="276" w:lineRule="auto"/>
              <w:rPr>
                <w:rFonts w:ascii="Arial" w:hAnsi="Arial" w:cs="Arial"/>
                <w:sz w:val="24"/>
                <w:szCs w:val="24"/>
                <w:lang w:val="en-GB"/>
              </w:rPr>
            </w:pPr>
            <w:r w:rsidRPr="0038672B">
              <w:rPr>
                <w:rFonts w:ascii="Arial" w:hAnsi="Arial" w:cs="Arial"/>
                <w:sz w:val="24"/>
                <w:szCs w:val="24"/>
                <w:lang w:val="en-GB"/>
              </w:rPr>
              <w:t>8. Individual Allergy Risk Assessment</w:t>
            </w:r>
          </w:p>
        </w:tc>
        <w:tc>
          <w:tcPr>
            <w:tcW w:w="591" w:type="dxa"/>
            <w:hideMark/>
          </w:tcPr>
          <w:p w14:paraId="6457DA32" w14:textId="6692826A"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12</w:t>
            </w:r>
          </w:p>
        </w:tc>
      </w:tr>
      <w:tr w:rsidR="00DB4013" w:rsidRPr="00A21752" w14:paraId="2A9201D3" w14:textId="77777777" w:rsidTr="0062631A">
        <w:trPr>
          <w:tblCellSpacing w:w="15" w:type="dxa"/>
        </w:trPr>
        <w:tc>
          <w:tcPr>
            <w:tcW w:w="8035" w:type="dxa"/>
            <w:gridSpan w:val="2"/>
            <w:vAlign w:val="center"/>
            <w:hideMark/>
          </w:tcPr>
          <w:p w14:paraId="43DFBDD8" w14:textId="77777777" w:rsidR="00DB4013" w:rsidRPr="0038672B" w:rsidRDefault="00DB4013" w:rsidP="00DB4013">
            <w:pPr>
              <w:pStyle w:val="NoSpacing"/>
              <w:spacing w:line="276" w:lineRule="auto"/>
              <w:rPr>
                <w:rFonts w:ascii="Arial" w:hAnsi="Arial" w:cs="Arial"/>
                <w:sz w:val="24"/>
                <w:szCs w:val="24"/>
                <w:lang w:val="en-GB"/>
              </w:rPr>
            </w:pPr>
            <w:r w:rsidRPr="0038672B">
              <w:rPr>
                <w:rFonts w:ascii="Arial" w:hAnsi="Arial" w:cs="Arial"/>
                <w:sz w:val="24"/>
                <w:szCs w:val="24"/>
                <w:lang w:val="en-GB"/>
              </w:rPr>
              <w:t>9. Emergency Response to Allergic Reaction and Anaphylaxis</w:t>
            </w:r>
          </w:p>
        </w:tc>
        <w:tc>
          <w:tcPr>
            <w:tcW w:w="591" w:type="dxa"/>
            <w:hideMark/>
          </w:tcPr>
          <w:p w14:paraId="7982D0D2" w14:textId="6BF86908"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13</w:t>
            </w:r>
          </w:p>
        </w:tc>
      </w:tr>
      <w:tr w:rsidR="00DB4013" w:rsidRPr="00A21752" w14:paraId="6088C7CB" w14:textId="77777777" w:rsidTr="0062631A">
        <w:trPr>
          <w:tblCellSpacing w:w="15" w:type="dxa"/>
        </w:trPr>
        <w:tc>
          <w:tcPr>
            <w:tcW w:w="8035" w:type="dxa"/>
            <w:gridSpan w:val="2"/>
            <w:vAlign w:val="center"/>
            <w:hideMark/>
          </w:tcPr>
          <w:p w14:paraId="3E5CC71B" w14:textId="77777777" w:rsidR="00DB4013" w:rsidRPr="0038672B" w:rsidRDefault="00DB4013" w:rsidP="00DB4013">
            <w:pPr>
              <w:pStyle w:val="NoSpacing"/>
              <w:spacing w:line="276" w:lineRule="auto"/>
              <w:rPr>
                <w:rFonts w:ascii="Arial" w:hAnsi="Arial" w:cs="Arial"/>
                <w:sz w:val="24"/>
                <w:szCs w:val="24"/>
                <w:lang w:val="en-GB"/>
              </w:rPr>
            </w:pPr>
            <w:r w:rsidRPr="0038672B">
              <w:rPr>
                <w:rFonts w:ascii="Arial" w:hAnsi="Arial" w:cs="Arial"/>
                <w:sz w:val="24"/>
                <w:szCs w:val="24"/>
                <w:lang w:val="en-GB"/>
              </w:rPr>
              <w:t>10. Supply, Storage and Care of Medication</w:t>
            </w:r>
          </w:p>
        </w:tc>
        <w:tc>
          <w:tcPr>
            <w:tcW w:w="591" w:type="dxa"/>
            <w:hideMark/>
          </w:tcPr>
          <w:p w14:paraId="084F2D48" w14:textId="0CEDC0D6"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14</w:t>
            </w:r>
          </w:p>
        </w:tc>
      </w:tr>
      <w:tr w:rsidR="00DB4013" w:rsidRPr="00A21752" w14:paraId="1307F4B2" w14:textId="77777777" w:rsidTr="0062631A">
        <w:trPr>
          <w:tblCellSpacing w:w="15" w:type="dxa"/>
        </w:trPr>
        <w:tc>
          <w:tcPr>
            <w:tcW w:w="8035" w:type="dxa"/>
            <w:gridSpan w:val="2"/>
            <w:vAlign w:val="center"/>
            <w:hideMark/>
          </w:tcPr>
          <w:p w14:paraId="7A65B020" w14:textId="77777777" w:rsidR="00DB4013" w:rsidRPr="0038672B" w:rsidRDefault="00DB4013" w:rsidP="00DB4013">
            <w:pPr>
              <w:pStyle w:val="NoSpacing"/>
              <w:spacing w:line="276" w:lineRule="auto"/>
              <w:rPr>
                <w:rFonts w:ascii="Arial" w:hAnsi="Arial" w:cs="Arial"/>
                <w:sz w:val="24"/>
                <w:szCs w:val="24"/>
                <w:lang w:val="en-GB"/>
              </w:rPr>
            </w:pPr>
            <w:r w:rsidRPr="0038672B">
              <w:rPr>
                <w:rFonts w:ascii="Arial" w:hAnsi="Arial" w:cs="Arial"/>
                <w:sz w:val="24"/>
                <w:szCs w:val="24"/>
                <w:lang w:val="en-GB"/>
              </w:rPr>
              <w:t>11. Spare Adrenaline Auto-Injectors</w:t>
            </w:r>
          </w:p>
        </w:tc>
        <w:tc>
          <w:tcPr>
            <w:tcW w:w="591" w:type="dxa"/>
            <w:hideMark/>
          </w:tcPr>
          <w:p w14:paraId="2A22C5B8" w14:textId="0E755656"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15</w:t>
            </w:r>
          </w:p>
        </w:tc>
      </w:tr>
      <w:tr w:rsidR="00DB4013" w:rsidRPr="00A21752" w14:paraId="32FD4FB0" w14:textId="77777777" w:rsidTr="0062631A">
        <w:trPr>
          <w:tblCellSpacing w:w="15" w:type="dxa"/>
        </w:trPr>
        <w:tc>
          <w:tcPr>
            <w:tcW w:w="8035" w:type="dxa"/>
            <w:gridSpan w:val="2"/>
            <w:vAlign w:val="center"/>
            <w:hideMark/>
          </w:tcPr>
          <w:p w14:paraId="334303C4" w14:textId="77777777" w:rsidR="00DB4013" w:rsidRPr="0038672B" w:rsidRDefault="00DB4013" w:rsidP="00DB4013">
            <w:pPr>
              <w:pStyle w:val="NoSpacing"/>
              <w:spacing w:line="276" w:lineRule="auto"/>
              <w:rPr>
                <w:rFonts w:ascii="Arial" w:hAnsi="Arial" w:cs="Arial"/>
                <w:sz w:val="24"/>
                <w:szCs w:val="24"/>
                <w:lang w:val="en-GB"/>
              </w:rPr>
            </w:pPr>
            <w:r w:rsidRPr="0038672B">
              <w:rPr>
                <w:rFonts w:ascii="Arial" w:hAnsi="Arial" w:cs="Arial"/>
                <w:sz w:val="24"/>
                <w:szCs w:val="24"/>
                <w:lang w:val="en-GB"/>
              </w:rPr>
              <w:t>12. Training and Awareness</w:t>
            </w:r>
          </w:p>
        </w:tc>
        <w:tc>
          <w:tcPr>
            <w:tcW w:w="591" w:type="dxa"/>
            <w:hideMark/>
          </w:tcPr>
          <w:p w14:paraId="2CF44B66" w14:textId="6516FFD9"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16</w:t>
            </w:r>
          </w:p>
        </w:tc>
      </w:tr>
      <w:tr w:rsidR="00DB4013" w:rsidRPr="00A21752" w14:paraId="13E9EBCE" w14:textId="77777777" w:rsidTr="0062631A">
        <w:trPr>
          <w:tblCellSpacing w:w="15" w:type="dxa"/>
        </w:trPr>
        <w:tc>
          <w:tcPr>
            <w:tcW w:w="8035" w:type="dxa"/>
            <w:gridSpan w:val="2"/>
            <w:vAlign w:val="center"/>
            <w:hideMark/>
          </w:tcPr>
          <w:p w14:paraId="3AE6DF4A" w14:textId="77777777" w:rsidR="00DB4013" w:rsidRPr="0038672B" w:rsidRDefault="00DB4013" w:rsidP="00DB4013">
            <w:pPr>
              <w:pStyle w:val="NoSpacing"/>
              <w:spacing w:line="276" w:lineRule="auto"/>
              <w:rPr>
                <w:rFonts w:ascii="Arial" w:hAnsi="Arial" w:cs="Arial"/>
                <w:sz w:val="24"/>
                <w:szCs w:val="24"/>
                <w:lang w:val="en-GB"/>
              </w:rPr>
            </w:pPr>
            <w:r w:rsidRPr="0038672B">
              <w:rPr>
                <w:rFonts w:ascii="Arial" w:hAnsi="Arial" w:cs="Arial"/>
                <w:sz w:val="24"/>
                <w:szCs w:val="24"/>
                <w:lang w:val="en-GB"/>
              </w:rPr>
              <w:t>13. Catering and Food Allergen Management</w:t>
            </w:r>
          </w:p>
        </w:tc>
        <w:tc>
          <w:tcPr>
            <w:tcW w:w="591" w:type="dxa"/>
            <w:hideMark/>
          </w:tcPr>
          <w:p w14:paraId="4610F73E" w14:textId="557320C7"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18</w:t>
            </w:r>
          </w:p>
        </w:tc>
      </w:tr>
      <w:tr w:rsidR="00DB4013" w:rsidRPr="00A21752" w14:paraId="09624214" w14:textId="77777777" w:rsidTr="0062631A">
        <w:trPr>
          <w:tblCellSpacing w:w="15" w:type="dxa"/>
        </w:trPr>
        <w:tc>
          <w:tcPr>
            <w:tcW w:w="8035" w:type="dxa"/>
            <w:gridSpan w:val="2"/>
            <w:vAlign w:val="center"/>
            <w:hideMark/>
          </w:tcPr>
          <w:p w14:paraId="1007EEFE" w14:textId="77777777" w:rsidR="00DB4013" w:rsidRPr="0038672B" w:rsidRDefault="00DB4013" w:rsidP="00DB4013">
            <w:pPr>
              <w:pStyle w:val="NoSpacing"/>
              <w:spacing w:line="276" w:lineRule="auto"/>
              <w:rPr>
                <w:rFonts w:ascii="Arial" w:hAnsi="Arial" w:cs="Arial"/>
                <w:sz w:val="24"/>
                <w:szCs w:val="24"/>
                <w:lang w:val="en-GB"/>
              </w:rPr>
            </w:pPr>
            <w:r w:rsidRPr="0038672B">
              <w:rPr>
                <w:rFonts w:ascii="Arial" w:hAnsi="Arial" w:cs="Arial"/>
                <w:sz w:val="24"/>
                <w:szCs w:val="24"/>
                <w:lang w:val="en-GB"/>
              </w:rPr>
              <w:t>14. Educational Visits, Clubs and School Activities</w:t>
            </w:r>
          </w:p>
        </w:tc>
        <w:tc>
          <w:tcPr>
            <w:tcW w:w="591" w:type="dxa"/>
            <w:hideMark/>
          </w:tcPr>
          <w:p w14:paraId="1B683FBF" w14:textId="47E48614"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18</w:t>
            </w:r>
          </w:p>
        </w:tc>
      </w:tr>
      <w:tr w:rsidR="00DB4013" w:rsidRPr="00A21752" w14:paraId="19EB01F8" w14:textId="77777777" w:rsidTr="0062631A">
        <w:trPr>
          <w:tblCellSpacing w:w="15" w:type="dxa"/>
        </w:trPr>
        <w:tc>
          <w:tcPr>
            <w:tcW w:w="8035" w:type="dxa"/>
            <w:gridSpan w:val="2"/>
            <w:vAlign w:val="center"/>
            <w:hideMark/>
          </w:tcPr>
          <w:p w14:paraId="198DBBE1" w14:textId="77777777" w:rsidR="00DB4013" w:rsidRPr="0038672B" w:rsidRDefault="00DB4013" w:rsidP="00DB4013">
            <w:pPr>
              <w:pStyle w:val="NoSpacing"/>
              <w:spacing w:line="276" w:lineRule="auto"/>
              <w:rPr>
                <w:rFonts w:ascii="Arial" w:hAnsi="Arial" w:cs="Arial"/>
                <w:sz w:val="24"/>
                <w:szCs w:val="24"/>
                <w:lang w:val="en-GB"/>
              </w:rPr>
            </w:pPr>
            <w:r w:rsidRPr="0038672B">
              <w:rPr>
                <w:rFonts w:ascii="Arial" w:hAnsi="Arial" w:cs="Arial"/>
                <w:sz w:val="24"/>
                <w:szCs w:val="24"/>
                <w:lang w:val="en-GB"/>
              </w:rPr>
              <w:t>15. Allergy Awareness, Nut Bans and Allergen Restrictions</w:t>
            </w:r>
          </w:p>
        </w:tc>
        <w:tc>
          <w:tcPr>
            <w:tcW w:w="591" w:type="dxa"/>
            <w:hideMark/>
          </w:tcPr>
          <w:p w14:paraId="6D6D6C92" w14:textId="7001AA58"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19</w:t>
            </w:r>
          </w:p>
        </w:tc>
      </w:tr>
      <w:tr w:rsidR="00DB4013" w:rsidRPr="00A21752" w14:paraId="467B9DE5" w14:textId="77777777" w:rsidTr="0062631A">
        <w:trPr>
          <w:tblCellSpacing w:w="15" w:type="dxa"/>
        </w:trPr>
        <w:tc>
          <w:tcPr>
            <w:tcW w:w="8035" w:type="dxa"/>
            <w:gridSpan w:val="2"/>
            <w:vAlign w:val="center"/>
            <w:hideMark/>
          </w:tcPr>
          <w:p w14:paraId="67B75458" w14:textId="77777777" w:rsidR="00DB4013" w:rsidRPr="0038672B" w:rsidRDefault="00DB4013" w:rsidP="00DB4013">
            <w:pPr>
              <w:pStyle w:val="NoSpacing"/>
              <w:spacing w:line="276" w:lineRule="auto"/>
              <w:rPr>
                <w:rFonts w:ascii="Arial" w:hAnsi="Arial" w:cs="Arial"/>
                <w:sz w:val="24"/>
                <w:szCs w:val="24"/>
                <w:lang w:val="en-GB"/>
              </w:rPr>
            </w:pPr>
            <w:r w:rsidRPr="0038672B">
              <w:rPr>
                <w:rFonts w:ascii="Arial" w:hAnsi="Arial" w:cs="Arial"/>
                <w:sz w:val="24"/>
                <w:szCs w:val="24"/>
                <w:lang w:val="en-GB"/>
              </w:rPr>
              <w:t>16. Inclusion, Equality, Safeguarding and Bullying</w:t>
            </w:r>
          </w:p>
        </w:tc>
        <w:tc>
          <w:tcPr>
            <w:tcW w:w="591" w:type="dxa"/>
            <w:hideMark/>
          </w:tcPr>
          <w:p w14:paraId="7F2B9838" w14:textId="584AF685"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19</w:t>
            </w:r>
          </w:p>
        </w:tc>
      </w:tr>
      <w:tr w:rsidR="00DB4013" w:rsidRPr="00A21752" w14:paraId="0CC5D32B" w14:textId="77777777" w:rsidTr="0062631A">
        <w:trPr>
          <w:tblCellSpacing w:w="15" w:type="dxa"/>
        </w:trPr>
        <w:tc>
          <w:tcPr>
            <w:tcW w:w="8035" w:type="dxa"/>
            <w:gridSpan w:val="2"/>
            <w:vAlign w:val="center"/>
            <w:hideMark/>
          </w:tcPr>
          <w:p w14:paraId="2FA08104" w14:textId="48BDFB04" w:rsidR="00DB4013" w:rsidRPr="0038672B" w:rsidRDefault="00DB4013" w:rsidP="00DB4013">
            <w:pPr>
              <w:pStyle w:val="NoSpacing"/>
              <w:spacing w:line="276" w:lineRule="auto"/>
              <w:rPr>
                <w:rFonts w:ascii="Arial" w:hAnsi="Arial" w:cs="Arial"/>
                <w:sz w:val="24"/>
                <w:szCs w:val="24"/>
                <w:lang w:val="en-GB"/>
              </w:rPr>
            </w:pPr>
            <w:r w:rsidRPr="0038672B">
              <w:rPr>
                <w:rFonts w:ascii="Arial" w:hAnsi="Arial" w:cs="Arial"/>
                <w:sz w:val="24"/>
                <w:szCs w:val="24"/>
                <w:lang w:val="en-GB"/>
              </w:rPr>
              <w:t>17. Wellbeing</w:t>
            </w:r>
          </w:p>
        </w:tc>
        <w:tc>
          <w:tcPr>
            <w:tcW w:w="591" w:type="dxa"/>
            <w:hideMark/>
          </w:tcPr>
          <w:p w14:paraId="3B823206" w14:textId="0BA295FC"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20</w:t>
            </w:r>
          </w:p>
        </w:tc>
      </w:tr>
      <w:tr w:rsidR="00DB4013" w:rsidRPr="00A21752" w14:paraId="09ECB7E1" w14:textId="77777777" w:rsidTr="0062631A">
        <w:trPr>
          <w:tblCellSpacing w:w="15" w:type="dxa"/>
        </w:trPr>
        <w:tc>
          <w:tcPr>
            <w:tcW w:w="8035" w:type="dxa"/>
            <w:gridSpan w:val="2"/>
            <w:vAlign w:val="center"/>
            <w:hideMark/>
          </w:tcPr>
          <w:p w14:paraId="0F653648" w14:textId="104702C9" w:rsidR="00DB4013" w:rsidRPr="0038672B" w:rsidRDefault="00DB4013" w:rsidP="00DB4013">
            <w:pPr>
              <w:pStyle w:val="NoSpacing"/>
              <w:spacing w:line="276" w:lineRule="auto"/>
              <w:rPr>
                <w:rFonts w:ascii="Arial" w:hAnsi="Arial" w:cs="Arial"/>
                <w:sz w:val="24"/>
                <w:szCs w:val="24"/>
                <w:lang w:val="en-GB"/>
              </w:rPr>
            </w:pPr>
            <w:r w:rsidRPr="0038672B">
              <w:rPr>
                <w:rFonts w:ascii="Arial" w:hAnsi="Arial" w:cs="Arial"/>
                <w:sz w:val="24"/>
                <w:szCs w:val="24"/>
                <w:lang w:val="en-GB"/>
              </w:rPr>
              <w:t>18. Incident Reporting, Near Misses and Learning</w:t>
            </w:r>
          </w:p>
        </w:tc>
        <w:tc>
          <w:tcPr>
            <w:tcW w:w="591" w:type="dxa"/>
            <w:hideMark/>
          </w:tcPr>
          <w:p w14:paraId="38E024B3" w14:textId="530AA971"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20</w:t>
            </w:r>
          </w:p>
        </w:tc>
      </w:tr>
      <w:tr w:rsidR="00DB4013" w:rsidRPr="00A21752" w14:paraId="51AED79A" w14:textId="77777777" w:rsidTr="0062631A">
        <w:trPr>
          <w:tblCellSpacing w:w="15" w:type="dxa"/>
        </w:trPr>
        <w:tc>
          <w:tcPr>
            <w:tcW w:w="8035" w:type="dxa"/>
            <w:gridSpan w:val="2"/>
            <w:vAlign w:val="center"/>
            <w:hideMark/>
          </w:tcPr>
          <w:p w14:paraId="5956E5D7" w14:textId="09CC5684" w:rsidR="00DB4013" w:rsidRPr="0038672B" w:rsidRDefault="00DB4013" w:rsidP="00DB4013">
            <w:pPr>
              <w:pStyle w:val="NoSpacing"/>
              <w:spacing w:line="276" w:lineRule="auto"/>
              <w:rPr>
                <w:rFonts w:ascii="Arial" w:hAnsi="Arial" w:cs="Arial"/>
                <w:sz w:val="24"/>
                <w:szCs w:val="24"/>
                <w:lang w:val="en-GB"/>
              </w:rPr>
            </w:pPr>
            <w:r w:rsidRPr="0038672B">
              <w:rPr>
                <w:rFonts w:ascii="Arial" w:hAnsi="Arial" w:cs="Arial"/>
                <w:sz w:val="24"/>
                <w:szCs w:val="24"/>
                <w:lang w:val="en-GB"/>
              </w:rPr>
              <w:t>19. Communication with Parents, Pupils and Staff</w:t>
            </w:r>
          </w:p>
        </w:tc>
        <w:tc>
          <w:tcPr>
            <w:tcW w:w="591" w:type="dxa"/>
            <w:hideMark/>
          </w:tcPr>
          <w:p w14:paraId="75BC3E4C" w14:textId="0A52CFD0"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21</w:t>
            </w:r>
          </w:p>
        </w:tc>
      </w:tr>
      <w:tr w:rsidR="00DB4013" w:rsidRPr="00A21752" w14:paraId="6A422B63" w14:textId="77777777" w:rsidTr="0062631A">
        <w:trPr>
          <w:tblCellSpacing w:w="15" w:type="dxa"/>
        </w:trPr>
        <w:tc>
          <w:tcPr>
            <w:tcW w:w="8035" w:type="dxa"/>
            <w:gridSpan w:val="2"/>
            <w:vAlign w:val="center"/>
            <w:hideMark/>
          </w:tcPr>
          <w:p w14:paraId="3B9221A9" w14:textId="579BB2D4" w:rsidR="00DB4013" w:rsidRPr="0038672B" w:rsidRDefault="00DB4013" w:rsidP="00DB4013">
            <w:pPr>
              <w:pStyle w:val="NoSpacing"/>
              <w:spacing w:line="276" w:lineRule="auto"/>
              <w:rPr>
                <w:rFonts w:ascii="Arial" w:hAnsi="Arial" w:cs="Arial"/>
                <w:sz w:val="24"/>
                <w:szCs w:val="24"/>
                <w:lang w:val="en-GB"/>
              </w:rPr>
            </w:pPr>
            <w:r w:rsidRPr="0038672B">
              <w:rPr>
                <w:rFonts w:ascii="Arial" w:hAnsi="Arial" w:cs="Arial"/>
                <w:sz w:val="24"/>
                <w:szCs w:val="24"/>
                <w:lang w:val="en-GB"/>
              </w:rPr>
              <w:t>20. Monitoring and Review</w:t>
            </w:r>
          </w:p>
        </w:tc>
        <w:tc>
          <w:tcPr>
            <w:tcW w:w="591" w:type="dxa"/>
            <w:hideMark/>
          </w:tcPr>
          <w:p w14:paraId="70222DC1" w14:textId="2D7109FA" w:rsidR="00DB4013" w:rsidRPr="00DB4013" w:rsidRDefault="00DB4013" w:rsidP="00DB4013">
            <w:pPr>
              <w:pStyle w:val="NoSpacing"/>
              <w:spacing w:line="276" w:lineRule="auto"/>
              <w:rPr>
                <w:rFonts w:ascii="Arial" w:hAnsi="Arial" w:cs="Arial"/>
                <w:color w:val="000000" w:themeColor="text1"/>
                <w:sz w:val="24"/>
                <w:szCs w:val="24"/>
                <w:lang w:val="en-GB"/>
              </w:rPr>
            </w:pPr>
            <w:r w:rsidRPr="00DB4013">
              <w:rPr>
                <w:rFonts w:ascii="Arial" w:eastAsia="MS Mincho" w:hAnsi="Arial" w:cs="Arial"/>
                <w:color w:val="000000" w:themeColor="text1"/>
              </w:rPr>
              <w:t>22</w:t>
            </w:r>
          </w:p>
        </w:tc>
      </w:tr>
      <w:tr w:rsidR="007E2DAB" w:rsidRPr="00D2432C" w14:paraId="54F45C8B" w14:textId="77777777" w:rsidTr="00D2432C">
        <w:trPr>
          <w:tblCellSpacing w:w="15" w:type="dxa"/>
        </w:trPr>
        <w:tc>
          <w:tcPr>
            <w:tcW w:w="8035" w:type="dxa"/>
            <w:gridSpan w:val="2"/>
            <w:shd w:val="clear" w:color="auto" w:fill="E3F1ED" w:themeFill="accent3" w:themeFillTint="33"/>
            <w:vAlign w:val="center"/>
          </w:tcPr>
          <w:p w14:paraId="673840FC" w14:textId="77777777" w:rsidR="007E2DAB" w:rsidRPr="0038672B" w:rsidRDefault="007E2DAB" w:rsidP="00A21752">
            <w:pPr>
              <w:pStyle w:val="NoSpacing"/>
              <w:rPr>
                <w:rFonts w:ascii="Arial" w:hAnsi="Arial" w:cs="Arial"/>
                <w:sz w:val="4"/>
                <w:szCs w:val="4"/>
                <w:lang w:val="en-GB"/>
              </w:rPr>
            </w:pPr>
          </w:p>
        </w:tc>
        <w:tc>
          <w:tcPr>
            <w:tcW w:w="591" w:type="dxa"/>
            <w:shd w:val="clear" w:color="auto" w:fill="E3F1ED" w:themeFill="accent3" w:themeFillTint="33"/>
            <w:vAlign w:val="center"/>
          </w:tcPr>
          <w:p w14:paraId="7421EFAB" w14:textId="77777777" w:rsidR="007E2DAB" w:rsidRPr="004F0A4E" w:rsidRDefault="007E2DAB" w:rsidP="00A21752">
            <w:pPr>
              <w:pStyle w:val="NoSpacing"/>
              <w:rPr>
                <w:rFonts w:ascii="Arial" w:hAnsi="Arial" w:cs="Arial"/>
                <w:color w:val="000000" w:themeColor="text1"/>
                <w:sz w:val="4"/>
                <w:szCs w:val="4"/>
                <w:lang w:val="en-GB"/>
              </w:rPr>
            </w:pPr>
          </w:p>
        </w:tc>
      </w:tr>
    </w:tbl>
    <w:p w14:paraId="1DA39612" w14:textId="0219030C" w:rsidR="006A576E" w:rsidRDefault="006A576E" w:rsidP="00A21752">
      <w:pPr>
        <w:spacing w:after="0"/>
        <w:rPr>
          <w:i/>
        </w:rPr>
      </w:pPr>
      <w:r>
        <w:rPr>
          <w:i/>
        </w:rPr>
        <w:br w:type="page"/>
      </w:r>
    </w:p>
    <w:p w14:paraId="63E6662B" w14:textId="3817490F" w:rsidR="0018721C" w:rsidRDefault="0018721C" w:rsidP="00FC072F">
      <w:pPr>
        <w:pStyle w:val="Heading1"/>
        <w:spacing w:line="360" w:lineRule="auto"/>
        <w:rPr>
          <w:rFonts w:ascii="Arial" w:eastAsia="Arial" w:hAnsi="Arial"/>
          <w:bCs w:val="0"/>
          <w:color w:val="800080"/>
        </w:rPr>
      </w:pPr>
      <w:r w:rsidRPr="00775D4E">
        <w:rPr>
          <w:rFonts w:ascii="Arial" w:eastAsia="Arial" w:hAnsi="Arial"/>
          <w:bCs w:val="0"/>
          <w:color w:val="800080"/>
        </w:rPr>
        <w:t>Definitions</w:t>
      </w:r>
    </w:p>
    <w:tbl>
      <w:tblPr>
        <w:tblStyle w:val="TableGrid"/>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4106"/>
        <w:gridCol w:w="5856"/>
      </w:tblGrid>
      <w:tr w:rsidR="0018721C" w14:paraId="3948CA31" w14:textId="77777777" w:rsidTr="00F838DB">
        <w:trPr>
          <w:trHeight w:val="518"/>
        </w:trPr>
        <w:tc>
          <w:tcPr>
            <w:tcW w:w="4106" w:type="dxa"/>
            <w:shd w:val="clear" w:color="auto" w:fill="E3F1ED" w:themeFill="accent3" w:themeFillTint="33"/>
            <w:vAlign w:val="center"/>
          </w:tcPr>
          <w:p w14:paraId="18EA70FE" w14:textId="77777777" w:rsidR="0018721C" w:rsidRDefault="0018721C" w:rsidP="00CD269E">
            <w:r>
              <w:rPr>
                <w:b/>
              </w:rPr>
              <w:t>Term</w:t>
            </w:r>
          </w:p>
        </w:tc>
        <w:tc>
          <w:tcPr>
            <w:tcW w:w="5856" w:type="dxa"/>
            <w:shd w:val="clear" w:color="auto" w:fill="E3F1ED" w:themeFill="accent3" w:themeFillTint="33"/>
            <w:vAlign w:val="center"/>
          </w:tcPr>
          <w:p w14:paraId="74FD6CEE" w14:textId="77777777" w:rsidR="0018721C" w:rsidRDefault="0018721C" w:rsidP="00CD269E">
            <w:r>
              <w:rPr>
                <w:b/>
              </w:rPr>
              <w:t>Meaning</w:t>
            </w:r>
          </w:p>
        </w:tc>
      </w:tr>
      <w:tr w:rsidR="0018721C" w14:paraId="07EBE9C3" w14:textId="77777777" w:rsidTr="004656D5">
        <w:trPr>
          <w:trHeight w:val="881"/>
        </w:trPr>
        <w:tc>
          <w:tcPr>
            <w:tcW w:w="4106" w:type="dxa"/>
            <w:shd w:val="clear" w:color="auto" w:fill="E3F1ED" w:themeFill="accent3" w:themeFillTint="33"/>
            <w:vAlign w:val="center"/>
          </w:tcPr>
          <w:p w14:paraId="38818AA6" w14:textId="77777777" w:rsidR="0018721C" w:rsidRPr="001546A3" w:rsidRDefault="0018721C" w:rsidP="00CD269E">
            <w:pPr>
              <w:rPr>
                <w:bCs/>
              </w:rPr>
            </w:pPr>
            <w:r w:rsidRPr="001546A3">
              <w:rPr>
                <w:bCs/>
              </w:rPr>
              <w:t>Allergy</w:t>
            </w:r>
          </w:p>
        </w:tc>
        <w:tc>
          <w:tcPr>
            <w:tcW w:w="5856" w:type="dxa"/>
            <w:vAlign w:val="center"/>
          </w:tcPr>
          <w:p w14:paraId="5CB0DBC5" w14:textId="77777777" w:rsidR="0018721C" w:rsidRDefault="0018721C" w:rsidP="00CD269E">
            <w:r>
              <w:t>An immune system reaction to a substance that is usually harmless. Symptoms may be mild, moderate or severe.</w:t>
            </w:r>
          </w:p>
        </w:tc>
      </w:tr>
      <w:tr w:rsidR="0018721C" w14:paraId="6346B70F" w14:textId="77777777" w:rsidTr="004656D5">
        <w:trPr>
          <w:trHeight w:val="1418"/>
        </w:trPr>
        <w:tc>
          <w:tcPr>
            <w:tcW w:w="4106" w:type="dxa"/>
            <w:shd w:val="clear" w:color="auto" w:fill="E3F1ED" w:themeFill="accent3" w:themeFillTint="33"/>
            <w:vAlign w:val="center"/>
          </w:tcPr>
          <w:p w14:paraId="0073A57A" w14:textId="17CAA273" w:rsidR="0018721C" w:rsidRPr="001546A3" w:rsidRDefault="0018721C" w:rsidP="00CD269E">
            <w:pPr>
              <w:rPr>
                <w:bCs/>
              </w:rPr>
            </w:pPr>
            <w:r w:rsidRPr="001546A3">
              <w:rPr>
                <w:bCs/>
              </w:rPr>
              <w:t>Allergen</w:t>
            </w:r>
          </w:p>
        </w:tc>
        <w:tc>
          <w:tcPr>
            <w:tcW w:w="5856" w:type="dxa"/>
            <w:vAlign w:val="center"/>
          </w:tcPr>
          <w:p w14:paraId="6F9FDF4E" w14:textId="51E56B45" w:rsidR="0018721C" w:rsidRDefault="0018721C" w:rsidP="00CD269E">
            <w:r>
              <w:t>A substance that can trigger an allergic reaction. Common allergens include peanuts, tree nuts, milk, egg, sesame, fish, shellfish, soya, wheat, latex, insect venom, pollen, animal dander and some medicines.</w:t>
            </w:r>
          </w:p>
        </w:tc>
      </w:tr>
      <w:tr w:rsidR="0018721C" w14:paraId="66EEF9FC" w14:textId="77777777" w:rsidTr="00F6734F">
        <w:trPr>
          <w:trHeight w:val="984"/>
        </w:trPr>
        <w:tc>
          <w:tcPr>
            <w:tcW w:w="4106" w:type="dxa"/>
            <w:shd w:val="clear" w:color="auto" w:fill="E3F1ED" w:themeFill="accent3" w:themeFillTint="33"/>
            <w:vAlign w:val="center"/>
          </w:tcPr>
          <w:p w14:paraId="2AE9AC44" w14:textId="2B24D2EB" w:rsidR="0018721C" w:rsidRPr="001546A3" w:rsidRDefault="0018721C" w:rsidP="00CD269E">
            <w:pPr>
              <w:rPr>
                <w:bCs/>
              </w:rPr>
            </w:pPr>
            <w:r w:rsidRPr="001546A3">
              <w:rPr>
                <w:bCs/>
              </w:rPr>
              <w:t>Anaphylaxis</w:t>
            </w:r>
          </w:p>
        </w:tc>
        <w:tc>
          <w:tcPr>
            <w:tcW w:w="5856" w:type="dxa"/>
            <w:vAlign w:val="center"/>
          </w:tcPr>
          <w:p w14:paraId="6182832B" w14:textId="0A0411CC" w:rsidR="0018721C" w:rsidRDefault="0018721C" w:rsidP="00CD269E">
            <w:r>
              <w:t>A serious and potentially life-threatening allergic reaction that requires immediate emergency treatment.</w:t>
            </w:r>
          </w:p>
        </w:tc>
      </w:tr>
      <w:tr w:rsidR="0018721C" w14:paraId="34A037A6" w14:textId="77777777" w:rsidTr="00F6734F">
        <w:trPr>
          <w:trHeight w:val="1975"/>
        </w:trPr>
        <w:tc>
          <w:tcPr>
            <w:tcW w:w="4106" w:type="dxa"/>
            <w:shd w:val="clear" w:color="auto" w:fill="E3F1ED" w:themeFill="accent3" w:themeFillTint="33"/>
            <w:vAlign w:val="center"/>
          </w:tcPr>
          <w:p w14:paraId="78F931ED" w14:textId="77777777" w:rsidR="0018721C" w:rsidRPr="001546A3" w:rsidRDefault="0018721C" w:rsidP="00CD269E">
            <w:pPr>
              <w:rPr>
                <w:bCs/>
              </w:rPr>
            </w:pPr>
            <w:r w:rsidRPr="001546A3">
              <w:rPr>
                <w:bCs/>
              </w:rPr>
              <w:t>Adrenaline auto-injector (AAI)</w:t>
            </w:r>
          </w:p>
        </w:tc>
        <w:tc>
          <w:tcPr>
            <w:tcW w:w="5856" w:type="dxa"/>
            <w:vAlign w:val="center"/>
          </w:tcPr>
          <w:p w14:paraId="0AFD5B32" w14:textId="5E809EA7" w:rsidR="0018721C" w:rsidRPr="00FA4E8B" w:rsidRDefault="00FA4E8B" w:rsidP="00CD269E">
            <w:pPr>
              <w:rPr>
                <w:lang w:val="en-GB"/>
              </w:rPr>
            </w:pPr>
            <w:r w:rsidRPr="00FA4E8B">
              <w:rPr>
                <w:lang w:val="en-GB"/>
              </w:rPr>
              <w:t xml:space="preserve">A prescribed emergency device used to inject adrenaline during anaphylaxis. Examples include EpiPen and </w:t>
            </w:r>
            <w:proofErr w:type="spellStart"/>
            <w:r w:rsidRPr="00FA4E8B">
              <w:rPr>
                <w:lang w:val="en-GB"/>
              </w:rPr>
              <w:t>Jext</w:t>
            </w:r>
            <w:proofErr w:type="spellEnd"/>
            <w:r w:rsidRPr="00FA4E8B">
              <w:rPr>
                <w:lang w:val="en-GB"/>
              </w:rPr>
              <w:t>. Schools in England are permitted to purchase spare AAIs without a prescription for emergency use and, in line with the DfE statutory guidance, should stock spare AAIs of the correct dosage for their pupils.</w:t>
            </w:r>
          </w:p>
        </w:tc>
      </w:tr>
      <w:tr w:rsidR="00E20357" w14:paraId="67EB3759" w14:textId="77777777" w:rsidTr="00F6734F">
        <w:trPr>
          <w:trHeight w:val="2105"/>
        </w:trPr>
        <w:tc>
          <w:tcPr>
            <w:tcW w:w="4106" w:type="dxa"/>
            <w:shd w:val="clear" w:color="auto" w:fill="E3F1ED" w:themeFill="accent3" w:themeFillTint="33"/>
            <w:vAlign w:val="center"/>
          </w:tcPr>
          <w:p w14:paraId="11DF9994" w14:textId="1EB739E7" w:rsidR="00E20357" w:rsidRPr="001546A3" w:rsidRDefault="00E20357" w:rsidP="00CD269E">
            <w:pPr>
              <w:rPr>
                <w:bCs/>
              </w:rPr>
            </w:pPr>
            <w:r w:rsidRPr="00E20357">
              <w:rPr>
                <w:bCs/>
              </w:rPr>
              <w:t>Adrenaline device (AD)</w:t>
            </w:r>
          </w:p>
        </w:tc>
        <w:tc>
          <w:tcPr>
            <w:tcW w:w="5856" w:type="dxa"/>
            <w:vAlign w:val="center"/>
          </w:tcPr>
          <w:p w14:paraId="4A1377E4" w14:textId="4EDC75A8" w:rsidR="00E20357" w:rsidRPr="00A1104D" w:rsidRDefault="001679B8" w:rsidP="00CD269E">
            <w:r w:rsidRPr="001679B8">
              <w:t>A wider term for prescribed adrenaline used in anaphylaxis. This includes an adrenaline auto-injector or, where prescribed to an individual, a non-injectable nasal adrenaline device. At present, the legal exemption permitting schools in England to purchase spare adrenaline devices without a prescription applies to AAIs only.</w:t>
            </w:r>
          </w:p>
        </w:tc>
      </w:tr>
      <w:tr w:rsidR="0018721C" w14:paraId="7B350678" w14:textId="77777777" w:rsidTr="00F6734F">
        <w:trPr>
          <w:trHeight w:val="1553"/>
        </w:trPr>
        <w:tc>
          <w:tcPr>
            <w:tcW w:w="4106" w:type="dxa"/>
            <w:shd w:val="clear" w:color="auto" w:fill="E3F1ED" w:themeFill="accent3" w:themeFillTint="33"/>
            <w:vAlign w:val="center"/>
          </w:tcPr>
          <w:p w14:paraId="0183B4C6" w14:textId="77777777" w:rsidR="0018721C" w:rsidRPr="001546A3" w:rsidRDefault="0018721C" w:rsidP="00CD269E">
            <w:pPr>
              <w:rPr>
                <w:bCs/>
              </w:rPr>
            </w:pPr>
            <w:r w:rsidRPr="001546A3">
              <w:rPr>
                <w:bCs/>
              </w:rPr>
              <w:t>Allergy Action Plan (AAP)</w:t>
            </w:r>
          </w:p>
        </w:tc>
        <w:tc>
          <w:tcPr>
            <w:tcW w:w="5856" w:type="dxa"/>
            <w:vAlign w:val="center"/>
          </w:tcPr>
          <w:p w14:paraId="34BABEC3" w14:textId="31BD4890" w:rsidR="0018721C" w:rsidRDefault="003932D0" w:rsidP="00CD269E">
            <w:r w:rsidRPr="003932D0">
              <w:t>A plan completed by a healthcare professional setting out the pupil’s allergens, symptoms, medication and emergency response. It should be attached to, or referenced within, the pupil’s IHP where required.</w:t>
            </w:r>
          </w:p>
        </w:tc>
      </w:tr>
      <w:tr w:rsidR="0018721C" w14:paraId="36B553C0" w14:textId="77777777" w:rsidTr="00244C22">
        <w:trPr>
          <w:trHeight w:val="1834"/>
        </w:trPr>
        <w:tc>
          <w:tcPr>
            <w:tcW w:w="4106" w:type="dxa"/>
            <w:shd w:val="clear" w:color="auto" w:fill="E3F1ED" w:themeFill="accent3" w:themeFillTint="33"/>
            <w:vAlign w:val="center"/>
          </w:tcPr>
          <w:p w14:paraId="3C4627D0" w14:textId="77777777" w:rsidR="0018721C" w:rsidRPr="001546A3" w:rsidRDefault="0018721C" w:rsidP="00CD269E">
            <w:pPr>
              <w:rPr>
                <w:bCs/>
              </w:rPr>
            </w:pPr>
            <w:r w:rsidRPr="001546A3">
              <w:rPr>
                <w:bCs/>
              </w:rPr>
              <w:t>Individual Healthcare Plan (IHP)</w:t>
            </w:r>
          </w:p>
        </w:tc>
        <w:tc>
          <w:tcPr>
            <w:tcW w:w="5856" w:type="dxa"/>
            <w:vAlign w:val="center"/>
          </w:tcPr>
          <w:p w14:paraId="6A721C52" w14:textId="02ACB8EC" w:rsidR="0018721C" w:rsidRDefault="00244C22" w:rsidP="00CD269E">
            <w:r w:rsidRPr="00244C22">
              <w:t>A school plan that records the support required for a pupil with a medical condition or allergy. It should set out the arrangements the school will put in place, including emergency arrangements where relevant. An Allergy Action Plan may be attached to, or used alongside, the IHP.</w:t>
            </w:r>
          </w:p>
        </w:tc>
      </w:tr>
      <w:tr w:rsidR="004656D5" w14:paraId="2F07CF81" w14:textId="77777777" w:rsidTr="00F6734F">
        <w:trPr>
          <w:trHeight w:val="828"/>
        </w:trPr>
        <w:tc>
          <w:tcPr>
            <w:tcW w:w="4106" w:type="dxa"/>
            <w:shd w:val="clear" w:color="auto" w:fill="E3F1ED" w:themeFill="accent3" w:themeFillTint="33"/>
            <w:vAlign w:val="center"/>
          </w:tcPr>
          <w:p w14:paraId="20022AB3" w14:textId="77777777" w:rsidR="00F6734F" w:rsidRPr="00F6734F" w:rsidRDefault="00F6734F" w:rsidP="00F6734F">
            <w:pPr>
              <w:spacing w:line="300" w:lineRule="atLeast"/>
              <w:rPr>
                <w:rFonts w:eastAsia="Times New Roman" w:cs="Arial"/>
                <w:szCs w:val="24"/>
                <w:lang w:val="en-GB" w:eastAsia="en-GB"/>
              </w:rPr>
            </w:pPr>
            <w:r w:rsidRPr="00F6734F">
              <w:rPr>
                <w:rFonts w:eastAsia="Times New Roman" w:cs="Arial"/>
                <w:szCs w:val="24"/>
                <w:lang w:val="en-GB" w:eastAsia="en-GB"/>
              </w:rPr>
              <w:t>RIDDOR</w:t>
            </w:r>
          </w:p>
          <w:p w14:paraId="11650E1D" w14:textId="77777777" w:rsidR="004656D5" w:rsidRPr="001546A3" w:rsidRDefault="004656D5" w:rsidP="00CD269E">
            <w:pPr>
              <w:rPr>
                <w:bCs/>
              </w:rPr>
            </w:pPr>
          </w:p>
        </w:tc>
        <w:tc>
          <w:tcPr>
            <w:tcW w:w="5856" w:type="dxa"/>
            <w:vAlign w:val="center"/>
          </w:tcPr>
          <w:p w14:paraId="6CDB2ADA" w14:textId="65D6E3C7" w:rsidR="004656D5" w:rsidRPr="00244C22" w:rsidRDefault="00F6734F" w:rsidP="00CD269E">
            <w:r w:rsidRPr="00F6734F">
              <w:t>Reporting of Injuries, Diseases and Dangerous Occurrences Regulations 2013.</w:t>
            </w:r>
          </w:p>
        </w:tc>
      </w:tr>
    </w:tbl>
    <w:p w14:paraId="0DE7A6C3" w14:textId="27C10210" w:rsidR="0015285E" w:rsidRDefault="0015285E">
      <w:pPr>
        <w:rPr>
          <w:i/>
        </w:rPr>
      </w:pPr>
      <w:r>
        <w:rPr>
          <w:i/>
        </w:rPr>
        <w:br w:type="page"/>
      </w:r>
    </w:p>
    <w:p w14:paraId="130CEF21" w14:textId="77777777" w:rsidR="00AB66DB" w:rsidRDefault="00D03085" w:rsidP="00FC072F">
      <w:pPr>
        <w:pStyle w:val="Heading1"/>
        <w:spacing w:line="360" w:lineRule="auto"/>
        <w:rPr>
          <w:rFonts w:ascii="Arial" w:eastAsia="Arial" w:hAnsi="Arial"/>
          <w:bCs w:val="0"/>
          <w:color w:val="800080"/>
        </w:rPr>
      </w:pPr>
      <w:r w:rsidRPr="004E5F0F">
        <w:rPr>
          <w:rFonts w:ascii="Arial" w:eastAsia="Arial" w:hAnsi="Arial"/>
          <w:bCs w:val="0"/>
          <w:color w:val="800080"/>
        </w:rPr>
        <w:t>Document control</w:t>
      </w:r>
    </w:p>
    <w:tbl>
      <w:tblPr>
        <w:tblStyle w:val="TableGrid"/>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980"/>
        <w:gridCol w:w="1559"/>
        <w:gridCol w:w="1418"/>
        <w:gridCol w:w="2835"/>
        <w:gridCol w:w="2170"/>
      </w:tblGrid>
      <w:tr w:rsidR="00AB66DB" w14:paraId="0BC49EB2" w14:textId="77777777" w:rsidTr="6B9106D2">
        <w:trPr>
          <w:trHeight w:val="2127"/>
          <w:jc w:val="center"/>
        </w:trPr>
        <w:tc>
          <w:tcPr>
            <w:tcW w:w="3539" w:type="dxa"/>
            <w:gridSpan w:val="2"/>
            <w:shd w:val="clear" w:color="auto" w:fill="E3F1ED" w:themeFill="accent3" w:themeFillTint="33"/>
            <w:vAlign w:val="center"/>
          </w:tcPr>
          <w:p w14:paraId="38B130BB" w14:textId="30201C40" w:rsidR="00AB66DB" w:rsidRPr="001546A3" w:rsidRDefault="00D03085">
            <w:pPr>
              <w:rPr>
                <w:bCs/>
              </w:rPr>
            </w:pPr>
            <w:r w:rsidRPr="001546A3">
              <w:rPr>
                <w:bCs/>
              </w:rPr>
              <w:t>School name</w:t>
            </w:r>
            <w:r w:rsidR="00AD3E53" w:rsidRPr="001546A3">
              <w:rPr>
                <w:bCs/>
              </w:rPr>
              <w:t xml:space="preserve"> and address</w:t>
            </w:r>
          </w:p>
        </w:tc>
        <w:tc>
          <w:tcPr>
            <w:tcW w:w="6423" w:type="dxa"/>
            <w:gridSpan w:val="3"/>
            <w:vAlign w:val="center"/>
          </w:tcPr>
          <w:p w14:paraId="2B5AFA47" w14:textId="73EE025E" w:rsidR="00AB66DB" w:rsidRDefault="00763108">
            <w:r>
              <w:rPr>
                <w:color w:val="276E8B" w:themeColor="accent1" w:themeShade="BF"/>
              </w:rPr>
              <w:t>St. John’s CE Primary School &amp; Nursery</w:t>
            </w:r>
          </w:p>
        </w:tc>
      </w:tr>
      <w:tr w:rsidR="00AB66DB" w14:paraId="713D1D73" w14:textId="77777777" w:rsidTr="6B9106D2">
        <w:trPr>
          <w:trHeight w:val="657"/>
          <w:jc w:val="center"/>
        </w:trPr>
        <w:tc>
          <w:tcPr>
            <w:tcW w:w="3539" w:type="dxa"/>
            <w:gridSpan w:val="2"/>
            <w:shd w:val="clear" w:color="auto" w:fill="E3F1ED" w:themeFill="accent3" w:themeFillTint="33"/>
            <w:vAlign w:val="center"/>
          </w:tcPr>
          <w:p w14:paraId="112FDCC2" w14:textId="77777777" w:rsidR="00AB66DB" w:rsidRPr="001546A3" w:rsidRDefault="00D03085">
            <w:pPr>
              <w:rPr>
                <w:bCs/>
              </w:rPr>
            </w:pPr>
            <w:r w:rsidRPr="001546A3">
              <w:rPr>
                <w:bCs/>
              </w:rPr>
              <w:t>Policy title</w:t>
            </w:r>
          </w:p>
        </w:tc>
        <w:tc>
          <w:tcPr>
            <w:tcW w:w="6423" w:type="dxa"/>
            <w:gridSpan w:val="3"/>
            <w:vAlign w:val="center"/>
          </w:tcPr>
          <w:p w14:paraId="07070B35" w14:textId="77777777" w:rsidR="00AB66DB" w:rsidRDefault="00D03085">
            <w:r>
              <w:t>Allergy and Anaphylaxis Policy</w:t>
            </w:r>
          </w:p>
        </w:tc>
      </w:tr>
      <w:tr w:rsidR="00AB66DB" w14:paraId="12B22FC7" w14:textId="77777777" w:rsidTr="6B9106D2">
        <w:trPr>
          <w:trHeight w:val="691"/>
          <w:jc w:val="center"/>
        </w:trPr>
        <w:tc>
          <w:tcPr>
            <w:tcW w:w="3539" w:type="dxa"/>
            <w:gridSpan w:val="2"/>
            <w:shd w:val="clear" w:color="auto" w:fill="E3F1ED" w:themeFill="accent3" w:themeFillTint="33"/>
            <w:vAlign w:val="center"/>
          </w:tcPr>
          <w:p w14:paraId="46FC83F4" w14:textId="77777777" w:rsidR="00AB66DB" w:rsidRPr="001546A3" w:rsidRDefault="00D03085">
            <w:pPr>
              <w:rPr>
                <w:bCs/>
              </w:rPr>
            </w:pPr>
            <w:r w:rsidRPr="001546A3">
              <w:rPr>
                <w:bCs/>
              </w:rPr>
              <w:t>Local policy lead</w:t>
            </w:r>
          </w:p>
        </w:tc>
        <w:tc>
          <w:tcPr>
            <w:tcW w:w="6423" w:type="dxa"/>
            <w:gridSpan w:val="3"/>
            <w:vAlign w:val="center"/>
          </w:tcPr>
          <w:p w14:paraId="24913C5E" w14:textId="2AB2B751" w:rsidR="00AB66DB" w:rsidRPr="00E321DF" w:rsidRDefault="05CCBE6B">
            <w:pPr>
              <w:rPr>
                <w:color w:val="276E8B" w:themeColor="accent1" w:themeShade="BF"/>
              </w:rPr>
            </w:pPr>
            <w:r w:rsidRPr="6B9106D2">
              <w:rPr>
                <w:color w:val="276E8B" w:themeColor="accent1" w:themeShade="BF"/>
              </w:rPr>
              <w:t>Derbyshire County Council</w:t>
            </w:r>
            <w:r w:rsidR="2EF3F5CE" w:rsidRPr="6B9106D2">
              <w:rPr>
                <w:color w:val="276E8B" w:themeColor="accent1" w:themeShade="BF"/>
              </w:rPr>
              <w:t>/Headteacher</w:t>
            </w:r>
          </w:p>
        </w:tc>
      </w:tr>
      <w:tr w:rsidR="00AB66DB" w14:paraId="27A61651" w14:textId="77777777" w:rsidTr="6B9106D2">
        <w:trPr>
          <w:trHeight w:val="796"/>
          <w:jc w:val="center"/>
        </w:trPr>
        <w:tc>
          <w:tcPr>
            <w:tcW w:w="3539" w:type="dxa"/>
            <w:gridSpan w:val="2"/>
            <w:shd w:val="clear" w:color="auto" w:fill="E3F1ED" w:themeFill="accent3" w:themeFillTint="33"/>
            <w:vAlign w:val="center"/>
          </w:tcPr>
          <w:p w14:paraId="5DBF9385" w14:textId="6DC6C852" w:rsidR="00AB66DB" w:rsidRPr="001546A3" w:rsidRDefault="00D368FC">
            <w:pPr>
              <w:rPr>
                <w:bCs/>
              </w:rPr>
            </w:pPr>
            <w:r w:rsidRPr="00D368FC">
              <w:rPr>
                <w:bCs/>
              </w:rPr>
              <w:t>Named senior leader responsible for allergy safety</w:t>
            </w:r>
          </w:p>
        </w:tc>
        <w:tc>
          <w:tcPr>
            <w:tcW w:w="6423" w:type="dxa"/>
            <w:gridSpan w:val="3"/>
            <w:vAlign w:val="center"/>
          </w:tcPr>
          <w:p w14:paraId="5C107F22" w14:textId="57261E25" w:rsidR="00AB66DB" w:rsidRPr="00E321DF" w:rsidRDefault="00134A78">
            <w:pPr>
              <w:rPr>
                <w:color w:val="276E8B" w:themeColor="accent1" w:themeShade="BF"/>
              </w:rPr>
            </w:pPr>
            <w:r>
              <w:rPr>
                <w:color w:val="276E8B" w:themeColor="accent1" w:themeShade="BF"/>
              </w:rPr>
              <w:t>Mrs Mieke Carvell</w:t>
            </w:r>
          </w:p>
        </w:tc>
      </w:tr>
      <w:tr w:rsidR="00376DD6" w14:paraId="186C271C" w14:textId="77777777" w:rsidTr="6B9106D2">
        <w:trPr>
          <w:trHeight w:val="837"/>
          <w:jc w:val="center"/>
        </w:trPr>
        <w:tc>
          <w:tcPr>
            <w:tcW w:w="1980" w:type="dxa"/>
            <w:shd w:val="clear" w:color="auto" w:fill="E3F1ED" w:themeFill="accent3" w:themeFillTint="33"/>
            <w:vAlign w:val="center"/>
          </w:tcPr>
          <w:p w14:paraId="000D1398" w14:textId="5D7EB30B" w:rsidR="00376DD6" w:rsidRPr="001546A3" w:rsidRDefault="00376DD6">
            <w:pPr>
              <w:rPr>
                <w:bCs/>
              </w:rPr>
            </w:pPr>
            <w:r w:rsidRPr="00346B3A">
              <w:rPr>
                <w:bCs/>
              </w:rPr>
              <w:t>Date approved:</w:t>
            </w:r>
          </w:p>
        </w:tc>
        <w:tc>
          <w:tcPr>
            <w:tcW w:w="2977" w:type="dxa"/>
            <w:gridSpan w:val="2"/>
            <w:vAlign w:val="center"/>
          </w:tcPr>
          <w:p w14:paraId="5B9E70AB" w14:textId="330CCC5F" w:rsidR="00376DD6" w:rsidRPr="00E321DF" w:rsidRDefault="00D24AC5">
            <w:pPr>
              <w:rPr>
                <w:color w:val="276E8B" w:themeColor="accent1" w:themeShade="BF"/>
              </w:rPr>
            </w:pPr>
            <w:r>
              <w:rPr>
                <w:color w:val="276E8B" w:themeColor="accent1" w:themeShade="BF"/>
              </w:rPr>
              <w:t>24.09.26</w:t>
            </w:r>
          </w:p>
        </w:tc>
        <w:tc>
          <w:tcPr>
            <w:tcW w:w="2835" w:type="dxa"/>
            <w:shd w:val="clear" w:color="auto" w:fill="E3F1ED" w:themeFill="accent3" w:themeFillTint="33"/>
            <w:vAlign w:val="center"/>
          </w:tcPr>
          <w:p w14:paraId="4841FE52" w14:textId="39BC1C84" w:rsidR="00376DD6" w:rsidRPr="00E321DF" w:rsidRDefault="00376DD6">
            <w:pPr>
              <w:rPr>
                <w:color w:val="276E8B" w:themeColor="accent1" w:themeShade="BF"/>
              </w:rPr>
            </w:pPr>
            <w:r w:rsidRPr="001546A3">
              <w:rPr>
                <w:bCs/>
              </w:rPr>
              <w:t>Date implemented from</w:t>
            </w:r>
          </w:p>
        </w:tc>
        <w:tc>
          <w:tcPr>
            <w:tcW w:w="2170" w:type="dxa"/>
            <w:vAlign w:val="center"/>
          </w:tcPr>
          <w:p w14:paraId="10B55AE1" w14:textId="5C3A8E20" w:rsidR="00376DD6" w:rsidRPr="00E321DF" w:rsidRDefault="00D24AC5">
            <w:pPr>
              <w:rPr>
                <w:color w:val="276E8B" w:themeColor="accent1" w:themeShade="BF"/>
              </w:rPr>
            </w:pPr>
            <w:r>
              <w:rPr>
                <w:color w:val="276E8B" w:themeColor="accent1" w:themeShade="BF"/>
              </w:rPr>
              <w:t>25.09.26</w:t>
            </w:r>
          </w:p>
        </w:tc>
      </w:tr>
      <w:tr w:rsidR="00AB66DB" w14:paraId="0578945C" w14:textId="77777777" w:rsidTr="6B9106D2">
        <w:trPr>
          <w:trHeight w:val="990"/>
          <w:jc w:val="center"/>
        </w:trPr>
        <w:tc>
          <w:tcPr>
            <w:tcW w:w="3539" w:type="dxa"/>
            <w:gridSpan w:val="2"/>
            <w:shd w:val="clear" w:color="auto" w:fill="E3F1ED" w:themeFill="accent3" w:themeFillTint="33"/>
            <w:vAlign w:val="center"/>
          </w:tcPr>
          <w:p w14:paraId="44173A60" w14:textId="77777777" w:rsidR="00AB66DB" w:rsidRPr="001546A3" w:rsidRDefault="00D03085">
            <w:pPr>
              <w:rPr>
                <w:bCs/>
              </w:rPr>
            </w:pPr>
            <w:r w:rsidRPr="001546A3">
              <w:rPr>
                <w:bCs/>
              </w:rPr>
              <w:t>Review frequency</w:t>
            </w:r>
          </w:p>
        </w:tc>
        <w:tc>
          <w:tcPr>
            <w:tcW w:w="6423" w:type="dxa"/>
            <w:gridSpan w:val="3"/>
            <w:vAlign w:val="center"/>
          </w:tcPr>
          <w:p w14:paraId="50D1ACAF" w14:textId="223F8CEB" w:rsidR="00AB66DB" w:rsidRDefault="00C9677C">
            <w:r w:rsidRPr="00C9677C">
              <w:t>At least annually, or sooner following a serious allergic reaction, significant near miss, change in statutory requirements, national guidance or local allergy management arrangements.</w:t>
            </w:r>
          </w:p>
        </w:tc>
      </w:tr>
      <w:tr w:rsidR="00AB66DB" w14:paraId="5C921A32" w14:textId="77777777" w:rsidTr="6B9106D2">
        <w:trPr>
          <w:trHeight w:val="705"/>
          <w:jc w:val="center"/>
        </w:trPr>
        <w:tc>
          <w:tcPr>
            <w:tcW w:w="3539" w:type="dxa"/>
            <w:gridSpan w:val="2"/>
            <w:shd w:val="clear" w:color="auto" w:fill="E3F1ED" w:themeFill="accent3" w:themeFillTint="33"/>
            <w:vAlign w:val="center"/>
          </w:tcPr>
          <w:p w14:paraId="610FA070" w14:textId="7A30873B" w:rsidR="00AB66DB" w:rsidRPr="001546A3" w:rsidRDefault="00C65AF6">
            <w:pPr>
              <w:rPr>
                <w:bCs/>
              </w:rPr>
            </w:pPr>
            <w:r w:rsidRPr="00C65AF6">
              <w:rPr>
                <w:bCs/>
              </w:rPr>
              <w:t>Review due by</w:t>
            </w:r>
          </w:p>
        </w:tc>
        <w:tc>
          <w:tcPr>
            <w:tcW w:w="6423" w:type="dxa"/>
            <w:gridSpan w:val="3"/>
            <w:vAlign w:val="center"/>
          </w:tcPr>
          <w:p w14:paraId="2E65B8FD" w14:textId="154F33BD" w:rsidR="00AB66DB" w:rsidRDefault="00D24AC5">
            <w:r>
              <w:rPr>
                <w:color w:val="276E8B" w:themeColor="accent1" w:themeShade="BF"/>
              </w:rPr>
              <w:t>September 2027</w:t>
            </w:r>
          </w:p>
        </w:tc>
      </w:tr>
      <w:tr w:rsidR="00AB66DB" w14:paraId="01973530" w14:textId="77777777" w:rsidTr="6B9106D2">
        <w:trPr>
          <w:trHeight w:val="1126"/>
          <w:jc w:val="center"/>
        </w:trPr>
        <w:tc>
          <w:tcPr>
            <w:tcW w:w="3539" w:type="dxa"/>
            <w:gridSpan w:val="2"/>
            <w:shd w:val="clear" w:color="auto" w:fill="E3F1ED" w:themeFill="accent3" w:themeFillTint="33"/>
            <w:vAlign w:val="center"/>
          </w:tcPr>
          <w:p w14:paraId="570E1220" w14:textId="7DF06EC5" w:rsidR="00AB66DB" w:rsidRPr="001546A3" w:rsidRDefault="00262030">
            <w:pPr>
              <w:rPr>
                <w:bCs/>
              </w:rPr>
            </w:pPr>
            <w:r w:rsidRPr="00262030">
              <w:rPr>
                <w:bCs/>
              </w:rPr>
              <w:t>Published location:</w:t>
            </w:r>
          </w:p>
        </w:tc>
        <w:tc>
          <w:tcPr>
            <w:tcW w:w="6423" w:type="dxa"/>
            <w:gridSpan w:val="3"/>
            <w:vAlign w:val="center"/>
          </w:tcPr>
          <w:p w14:paraId="354668D1" w14:textId="7EF449F0" w:rsidR="00AB66DB" w:rsidRDefault="00D24AC5">
            <w:r>
              <w:rPr>
                <w:color w:val="276E8B" w:themeColor="accent1" w:themeShade="BF"/>
              </w:rPr>
              <w:t>School Website</w:t>
            </w:r>
            <w:r w:rsidR="000C236B">
              <w:rPr>
                <w:color w:val="276E8B" w:themeColor="accent1" w:themeShade="BF"/>
              </w:rPr>
              <w:t>, Paperwork, Safeguarding files</w:t>
            </w:r>
          </w:p>
        </w:tc>
      </w:tr>
      <w:tr w:rsidR="00AB66DB" w14:paraId="49A4CD65" w14:textId="77777777" w:rsidTr="6B9106D2">
        <w:trPr>
          <w:trHeight w:val="1823"/>
          <w:jc w:val="center"/>
        </w:trPr>
        <w:tc>
          <w:tcPr>
            <w:tcW w:w="3539" w:type="dxa"/>
            <w:gridSpan w:val="2"/>
            <w:shd w:val="clear" w:color="auto" w:fill="E3F1ED" w:themeFill="accent3" w:themeFillTint="33"/>
            <w:vAlign w:val="center"/>
          </w:tcPr>
          <w:p w14:paraId="7B4A5A50" w14:textId="77777777" w:rsidR="00AB66DB" w:rsidRPr="001546A3" w:rsidRDefault="00D03085">
            <w:pPr>
              <w:rPr>
                <w:bCs/>
              </w:rPr>
            </w:pPr>
            <w:r w:rsidRPr="001546A3">
              <w:rPr>
                <w:bCs/>
              </w:rPr>
              <w:t>Related policies</w:t>
            </w:r>
          </w:p>
        </w:tc>
        <w:tc>
          <w:tcPr>
            <w:tcW w:w="6423" w:type="dxa"/>
            <w:gridSpan w:val="3"/>
            <w:vAlign w:val="center"/>
          </w:tcPr>
          <w:p w14:paraId="01B4471A" w14:textId="3420FBF7" w:rsidR="00AB66DB" w:rsidRDefault="00441C14">
            <w:r w:rsidRPr="00441C14">
              <w:t>Supporting Pupils with Medical Needs, Administration of Medicines, First Aid, Safeguarding, Behaviour and Anti-Bullying, Educational Visits, Food Safety/Catering, Equality and Accessibility</w:t>
            </w:r>
            <w:r>
              <w:t>.</w:t>
            </w:r>
          </w:p>
        </w:tc>
      </w:tr>
    </w:tbl>
    <w:p w14:paraId="7B501570" w14:textId="77777777" w:rsidR="00217E59" w:rsidRDefault="00217E59">
      <w:pPr>
        <w:rPr>
          <w:b/>
          <w:bCs/>
          <w:lang w:val="en-GB"/>
        </w:rPr>
      </w:pPr>
      <w:r>
        <w:rPr>
          <w:b/>
          <w:bCs/>
          <w:lang w:val="en-GB"/>
        </w:rPr>
        <w:br w:type="page"/>
      </w:r>
    </w:p>
    <w:p w14:paraId="557BB5AF" w14:textId="71FBFDFB" w:rsidR="00DB4122" w:rsidRPr="00662EAE" w:rsidRDefault="00DB4122" w:rsidP="00FC072F">
      <w:pPr>
        <w:spacing w:after="0" w:line="360" w:lineRule="auto"/>
        <w:rPr>
          <w:b/>
          <w:bCs/>
          <w:color w:val="800080"/>
          <w:lang w:val="en-GB"/>
        </w:rPr>
      </w:pPr>
      <w:r w:rsidRPr="00662EAE">
        <w:rPr>
          <w:b/>
          <w:bCs/>
          <w:color w:val="800080"/>
          <w:lang w:val="en-GB"/>
        </w:rPr>
        <w:t>Governance Oversight</w:t>
      </w:r>
    </w:p>
    <w:p w14:paraId="05F5E666" w14:textId="2E75A664" w:rsidR="00DB4122" w:rsidRPr="00DB4122" w:rsidRDefault="008714C6" w:rsidP="00DB4122">
      <w:pPr>
        <w:rPr>
          <w:lang w:val="en-GB"/>
        </w:rPr>
      </w:pPr>
      <w:r w:rsidRPr="008714C6">
        <w:rPr>
          <w:lang w:val="en-GB"/>
        </w:rPr>
        <w:t>The school will identify the following allergy safety roles:</w:t>
      </w:r>
    </w:p>
    <w:tbl>
      <w:tblPr>
        <w:tblStyle w:val="TableGrid"/>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5797"/>
        <w:gridCol w:w="4165"/>
      </w:tblGrid>
      <w:tr w:rsidR="00DB4122" w:rsidRPr="00DB4122" w14:paraId="289CF621" w14:textId="77777777" w:rsidTr="00353C09">
        <w:trPr>
          <w:trHeight w:val="461"/>
        </w:trPr>
        <w:tc>
          <w:tcPr>
            <w:tcW w:w="0" w:type="auto"/>
            <w:shd w:val="clear" w:color="auto" w:fill="E3F1ED" w:themeFill="accent3" w:themeFillTint="33"/>
            <w:vAlign w:val="center"/>
            <w:hideMark/>
          </w:tcPr>
          <w:p w14:paraId="23F8B4D0" w14:textId="77777777" w:rsidR="00DB4122" w:rsidRPr="00DB4122" w:rsidRDefault="00DB4122" w:rsidP="000B14F2">
            <w:pPr>
              <w:spacing w:line="276" w:lineRule="auto"/>
              <w:rPr>
                <w:b/>
                <w:bCs/>
                <w:lang w:val="en-GB"/>
              </w:rPr>
            </w:pPr>
            <w:r w:rsidRPr="00DB4122">
              <w:rPr>
                <w:b/>
                <w:bCs/>
                <w:lang w:val="en-GB"/>
              </w:rPr>
              <w:t>Role</w:t>
            </w:r>
          </w:p>
        </w:tc>
        <w:tc>
          <w:tcPr>
            <w:tcW w:w="4165" w:type="dxa"/>
            <w:shd w:val="clear" w:color="auto" w:fill="E3F1ED" w:themeFill="accent3" w:themeFillTint="33"/>
            <w:vAlign w:val="center"/>
            <w:hideMark/>
          </w:tcPr>
          <w:p w14:paraId="173D601D" w14:textId="77777777" w:rsidR="00DB4122" w:rsidRPr="00DB4122" w:rsidRDefault="00DB4122" w:rsidP="000B14F2">
            <w:pPr>
              <w:spacing w:line="276" w:lineRule="auto"/>
              <w:rPr>
                <w:b/>
                <w:bCs/>
                <w:lang w:val="en-GB"/>
              </w:rPr>
            </w:pPr>
            <w:r w:rsidRPr="00DB4122">
              <w:rPr>
                <w:b/>
                <w:bCs/>
                <w:lang w:val="en-GB"/>
              </w:rPr>
              <w:t>Name</w:t>
            </w:r>
          </w:p>
        </w:tc>
      </w:tr>
      <w:tr w:rsidR="00DB4122" w:rsidRPr="00DB4122" w14:paraId="21577B09" w14:textId="77777777" w:rsidTr="001546A3">
        <w:trPr>
          <w:trHeight w:val="746"/>
        </w:trPr>
        <w:tc>
          <w:tcPr>
            <w:tcW w:w="0" w:type="auto"/>
            <w:shd w:val="clear" w:color="auto" w:fill="E3F1ED" w:themeFill="accent3" w:themeFillTint="33"/>
            <w:vAlign w:val="center"/>
            <w:hideMark/>
          </w:tcPr>
          <w:p w14:paraId="289B0F4E" w14:textId="0CF5F86C" w:rsidR="00DB4122" w:rsidRPr="00DB4122" w:rsidRDefault="00AB7E95" w:rsidP="000B14F2">
            <w:pPr>
              <w:spacing w:line="276" w:lineRule="auto"/>
              <w:rPr>
                <w:lang w:val="en-GB"/>
              </w:rPr>
            </w:pPr>
            <w:r w:rsidRPr="00AB7E95">
              <w:rPr>
                <w:lang w:val="en-GB"/>
              </w:rPr>
              <w:t>Named Senior Leader responsible for Allergy Safety</w:t>
            </w:r>
          </w:p>
        </w:tc>
        <w:tc>
          <w:tcPr>
            <w:tcW w:w="4165" w:type="dxa"/>
            <w:vAlign w:val="center"/>
            <w:hideMark/>
          </w:tcPr>
          <w:p w14:paraId="5FA6E978" w14:textId="5237C5C7" w:rsidR="00DB4122" w:rsidRPr="009F4DF3" w:rsidRDefault="000C236B" w:rsidP="000B14F2">
            <w:pPr>
              <w:spacing w:line="276" w:lineRule="auto"/>
              <w:rPr>
                <w:color w:val="276E8B" w:themeColor="accent1" w:themeShade="BF"/>
                <w:lang w:val="en-GB"/>
              </w:rPr>
            </w:pPr>
            <w:r>
              <w:rPr>
                <w:color w:val="276E8B" w:themeColor="accent1" w:themeShade="BF"/>
                <w:lang w:val="en-GB"/>
              </w:rPr>
              <w:t>Mrs Mieke Carvell</w:t>
            </w:r>
          </w:p>
        </w:tc>
      </w:tr>
      <w:tr w:rsidR="00DB4122" w:rsidRPr="00DB4122" w14:paraId="0C68D965" w14:textId="77777777" w:rsidTr="001546A3">
        <w:trPr>
          <w:trHeight w:val="700"/>
        </w:trPr>
        <w:tc>
          <w:tcPr>
            <w:tcW w:w="0" w:type="auto"/>
            <w:shd w:val="clear" w:color="auto" w:fill="E3F1ED" w:themeFill="accent3" w:themeFillTint="33"/>
            <w:vAlign w:val="center"/>
            <w:hideMark/>
          </w:tcPr>
          <w:p w14:paraId="3417C4F6" w14:textId="23A3608E" w:rsidR="00DB4122" w:rsidRPr="00DB4122" w:rsidRDefault="00AB7E95" w:rsidP="000B14F2">
            <w:pPr>
              <w:spacing w:line="276" w:lineRule="auto"/>
              <w:rPr>
                <w:lang w:val="en-GB"/>
              </w:rPr>
            </w:pPr>
            <w:r w:rsidRPr="00AB7E95">
              <w:rPr>
                <w:lang w:val="en-GB"/>
              </w:rPr>
              <w:t>Allergy and Anaphylaxis Operational Lead</w:t>
            </w:r>
          </w:p>
        </w:tc>
        <w:tc>
          <w:tcPr>
            <w:tcW w:w="4165" w:type="dxa"/>
            <w:vAlign w:val="center"/>
            <w:hideMark/>
          </w:tcPr>
          <w:p w14:paraId="0EEBF028" w14:textId="0C34FA8D" w:rsidR="00DB4122" w:rsidRPr="009F4DF3" w:rsidRDefault="00265B6A" w:rsidP="000B14F2">
            <w:pPr>
              <w:spacing w:line="276" w:lineRule="auto"/>
              <w:rPr>
                <w:color w:val="276E8B" w:themeColor="accent1" w:themeShade="BF"/>
                <w:lang w:val="en-GB"/>
              </w:rPr>
            </w:pPr>
            <w:r>
              <w:rPr>
                <w:color w:val="276E8B" w:themeColor="accent1" w:themeShade="BF"/>
                <w:lang w:val="en-GB"/>
              </w:rPr>
              <w:t>Mrs Mieke Carvell</w:t>
            </w:r>
          </w:p>
        </w:tc>
      </w:tr>
      <w:tr w:rsidR="00DB4122" w:rsidRPr="00DB4122" w14:paraId="69292E52" w14:textId="77777777" w:rsidTr="000C236B">
        <w:trPr>
          <w:trHeight w:val="697"/>
        </w:trPr>
        <w:tc>
          <w:tcPr>
            <w:tcW w:w="0" w:type="auto"/>
            <w:shd w:val="clear" w:color="auto" w:fill="E3F1ED" w:themeFill="accent3" w:themeFillTint="33"/>
            <w:vAlign w:val="center"/>
            <w:hideMark/>
          </w:tcPr>
          <w:p w14:paraId="2D68A746" w14:textId="05283BF0" w:rsidR="00DB4122" w:rsidRPr="00DB4122" w:rsidRDefault="006C6D4F" w:rsidP="000B14F2">
            <w:pPr>
              <w:spacing w:line="276" w:lineRule="auto"/>
              <w:rPr>
                <w:lang w:val="en-GB"/>
              </w:rPr>
            </w:pPr>
            <w:r w:rsidRPr="006C6D4F">
              <w:rPr>
                <w:lang w:val="en-GB"/>
              </w:rPr>
              <w:t>Deputy Allergy and Anaphylaxis Lead</w:t>
            </w:r>
          </w:p>
        </w:tc>
        <w:tc>
          <w:tcPr>
            <w:tcW w:w="4165" w:type="dxa"/>
            <w:vAlign w:val="center"/>
          </w:tcPr>
          <w:p w14:paraId="22E5E905" w14:textId="0C333F24" w:rsidR="00DB4122" w:rsidRPr="009F4DF3" w:rsidRDefault="00265B6A" w:rsidP="000B14F2">
            <w:pPr>
              <w:spacing w:line="276" w:lineRule="auto"/>
              <w:rPr>
                <w:color w:val="276E8B" w:themeColor="accent1" w:themeShade="BF"/>
                <w:lang w:val="en-GB"/>
              </w:rPr>
            </w:pPr>
            <w:r>
              <w:rPr>
                <w:color w:val="276E8B" w:themeColor="accent1" w:themeShade="BF"/>
                <w:lang w:val="en-GB"/>
              </w:rPr>
              <w:t>Mrs Richelle Cooper</w:t>
            </w:r>
          </w:p>
        </w:tc>
      </w:tr>
      <w:tr w:rsidR="00DB4122" w:rsidRPr="00DB4122" w14:paraId="526A68C1" w14:textId="77777777" w:rsidTr="001546A3">
        <w:trPr>
          <w:trHeight w:val="707"/>
        </w:trPr>
        <w:tc>
          <w:tcPr>
            <w:tcW w:w="0" w:type="auto"/>
            <w:shd w:val="clear" w:color="auto" w:fill="E3F1ED" w:themeFill="accent3" w:themeFillTint="33"/>
            <w:vAlign w:val="center"/>
            <w:hideMark/>
          </w:tcPr>
          <w:p w14:paraId="6BE2E0E5" w14:textId="2A883D20" w:rsidR="00DB4122" w:rsidRPr="00DB4122" w:rsidRDefault="006C6D4F" w:rsidP="000B14F2">
            <w:pPr>
              <w:spacing w:line="276" w:lineRule="auto"/>
              <w:rPr>
                <w:lang w:val="en-GB"/>
              </w:rPr>
            </w:pPr>
            <w:r w:rsidRPr="006C6D4F">
              <w:rPr>
                <w:lang w:val="en-GB"/>
              </w:rPr>
              <w:t>Named Governor or Trustee responsible for Allergy Safety</w:t>
            </w:r>
          </w:p>
        </w:tc>
        <w:tc>
          <w:tcPr>
            <w:tcW w:w="4165" w:type="dxa"/>
            <w:vAlign w:val="center"/>
            <w:hideMark/>
          </w:tcPr>
          <w:p w14:paraId="79DA9A9D" w14:textId="7F31D38B" w:rsidR="00DB4122" w:rsidRPr="009F4DF3" w:rsidRDefault="00265B6A" w:rsidP="000B14F2">
            <w:pPr>
              <w:spacing w:line="276" w:lineRule="auto"/>
              <w:rPr>
                <w:color w:val="276E8B" w:themeColor="accent1" w:themeShade="BF"/>
                <w:lang w:val="en-GB"/>
              </w:rPr>
            </w:pPr>
            <w:r>
              <w:rPr>
                <w:color w:val="276E8B" w:themeColor="accent1" w:themeShade="BF"/>
                <w:lang w:val="en-GB"/>
              </w:rPr>
              <w:t>tbc</w:t>
            </w:r>
          </w:p>
        </w:tc>
      </w:tr>
    </w:tbl>
    <w:p w14:paraId="27E864F0" w14:textId="77777777" w:rsidR="00294DA8" w:rsidRDefault="00294DA8" w:rsidP="00294DA8">
      <w:pPr>
        <w:spacing w:after="0"/>
      </w:pPr>
    </w:p>
    <w:p w14:paraId="19751FEF" w14:textId="77777777" w:rsidR="00294DA8" w:rsidRDefault="00294DA8" w:rsidP="00294DA8">
      <w:pPr>
        <w:spacing w:after="0"/>
      </w:pPr>
      <w:r>
        <w:t>The Named Senior Leader will oversee the implementation, monitoring and review of this policy and ensure that lessons learned from allergic reactions, serious incidents and near misses are considered. The operational lead and deputy will support day-to-day allergy and anaphylaxis arrangements.</w:t>
      </w:r>
    </w:p>
    <w:p w14:paraId="3D56D802" w14:textId="77777777" w:rsidR="00294DA8" w:rsidRDefault="00294DA8" w:rsidP="00294DA8">
      <w:pPr>
        <w:spacing w:after="0"/>
      </w:pPr>
    </w:p>
    <w:p w14:paraId="1329BEA0" w14:textId="47A9A9CE" w:rsidR="00294DA8" w:rsidRPr="00217E59" w:rsidRDefault="00294DA8" w:rsidP="00294DA8">
      <w:pPr>
        <w:spacing w:after="0"/>
      </w:pPr>
      <w:r>
        <w:t>Where a named governor or trustee is appointed, they will provide additional oversight and challenge in line with the school’s governance arrangements.</w:t>
      </w:r>
    </w:p>
    <w:p w14:paraId="7B170EA5" w14:textId="681C4674" w:rsidR="00AB66DB" w:rsidRPr="004E5F0F" w:rsidRDefault="00D03085" w:rsidP="00FC072F">
      <w:pPr>
        <w:pStyle w:val="Heading1"/>
        <w:spacing w:before="240" w:line="360" w:lineRule="auto"/>
        <w:rPr>
          <w:bCs w:val="0"/>
          <w:color w:val="800080"/>
        </w:rPr>
      </w:pPr>
      <w:r w:rsidRPr="004E5F0F">
        <w:rPr>
          <w:rFonts w:ascii="Arial" w:eastAsia="Arial" w:hAnsi="Arial"/>
          <w:bCs w:val="0"/>
          <w:color w:val="800080"/>
        </w:rPr>
        <w:t>Named allergy and anaphylaxis leads</w:t>
      </w:r>
    </w:p>
    <w:p w14:paraId="791C71C7" w14:textId="269167B8" w:rsidR="00AB66DB" w:rsidRDefault="00D07995">
      <w:r w:rsidRPr="00D07995">
        <w:t>The school will identify an Allergy and Anaphylaxis Operational Lead and Deputy Lead to support the day-to-day coordination of allergy and anaphylaxis arrangements. These roles will operate under the oversight of the Named Senior Leader responsible for allergy safety</w:t>
      </w:r>
    </w:p>
    <w:tbl>
      <w:tblPr>
        <w:tblStyle w:val="TableGrid"/>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3320"/>
        <w:gridCol w:w="3320"/>
        <w:gridCol w:w="3322"/>
      </w:tblGrid>
      <w:tr w:rsidR="00AB66DB" w14:paraId="00423D6B" w14:textId="77777777" w:rsidTr="008E3BE3">
        <w:trPr>
          <w:trHeight w:val="533"/>
        </w:trPr>
        <w:tc>
          <w:tcPr>
            <w:tcW w:w="3320" w:type="dxa"/>
            <w:shd w:val="clear" w:color="auto" w:fill="E3F1ED" w:themeFill="accent3" w:themeFillTint="33"/>
            <w:vAlign w:val="center"/>
          </w:tcPr>
          <w:p w14:paraId="0D909AED" w14:textId="77777777" w:rsidR="00AB66DB" w:rsidRDefault="00D03085">
            <w:r>
              <w:rPr>
                <w:b/>
              </w:rPr>
              <w:t>Name</w:t>
            </w:r>
          </w:p>
        </w:tc>
        <w:tc>
          <w:tcPr>
            <w:tcW w:w="3320" w:type="dxa"/>
            <w:shd w:val="clear" w:color="auto" w:fill="E3F1ED" w:themeFill="accent3" w:themeFillTint="33"/>
            <w:vAlign w:val="center"/>
          </w:tcPr>
          <w:p w14:paraId="7810568A" w14:textId="77777777" w:rsidR="00AB66DB" w:rsidRDefault="00D03085">
            <w:r>
              <w:rPr>
                <w:b/>
              </w:rPr>
              <w:t>Role</w:t>
            </w:r>
          </w:p>
        </w:tc>
        <w:tc>
          <w:tcPr>
            <w:tcW w:w="3322" w:type="dxa"/>
            <w:shd w:val="clear" w:color="auto" w:fill="E3F1ED" w:themeFill="accent3" w:themeFillTint="33"/>
            <w:vAlign w:val="center"/>
          </w:tcPr>
          <w:p w14:paraId="2AD40A83" w14:textId="77777777" w:rsidR="00AB66DB" w:rsidRDefault="00D03085">
            <w:r>
              <w:rPr>
                <w:b/>
              </w:rPr>
              <w:t>Responsibilities</w:t>
            </w:r>
          </w:p>
        </w:tc>
      </w:tr>
      <w:tr w:rsidR="008E3BE3" w14:paraId="2DF73E26" w14:textId="77777777" w:rsidTr="00FF202F">
        <w:trPr>
          <w:trHeight w:val="1871"/>
        </w:trPr>
        <w:tc>
          <w:tcPr>
            <w:tcW w:w="3320" w:type="dxa"/>
            <w:vAlign w:val="center"/>
          </w:tcPr>
          <w:p w14:paraId="364B408C" w14:textId="69BDEB80" w:rsidR="008E3BE3" w:rsidRPr="00E321DF" w:rsidRDefault="00265B6A" w:rsidP="00FF202F">
            <w:pPr>
              <w:rPr>
                <w:color w:val="276E8B" w:themeColor="accent1" w:themeShade="BF"/>
              </w:rPr>
            </w:pPr>
            <w:r>
              <w:rPr>
                <w:color w:val="276E8B" w:themeColor="accent1" w:themeShade="BF"/>
              </w:rPr>
              <w:t>Mrs Mieke Carvell</w:t>
            </w:r>
          </w:p>
        </w:tc>
        <w:tc>
          <w:tcPr>
            <w:tcW w:w="3320" w:type="dxa"/>
            <w:vAlign w:val="center"/>
          </w:tcPr>
          <w:p w14:paraId="50A607BB" w14:textId="762CC601" w:rsidR="008E3BE3" w:rsidRPr="00FF202F" w:rsidRDefault="00954217" w:rsidP="00FF202F">
            <w:pPr>
              <w:rPr>
                <w:color w:val="000000" w:themeColor="text1"/>
              </w:rPr>
            </w:pPr>
            <w:r w:rsidRPr="00FF202F">
              <w:rPr>
                <w:color w:val="000000" w:themeColor="text1"/>
              </w:rPr>
              <w:t>Allergy and Anaphylaxis Operational Lead</w:t>
            </w:r>
          </w:p>
        </w:tc>
        <w:tc>
          <w:tcPr>
            <w:tcW w:w="3322" w:type="dxa"/>
            <w:vAlign w:val="center"/>
          </w:tcPr>
          <w:p w14:paraId="502F47A6" w14:textId="67520F3F" w:rsidR="008E3BE3" w:rsidRDefault="00945E34" w:rsidP="00945E34">
            <w:r w:rsidRPr="00945E34">
              <w:t>Coordinate the allergy register, staff training records, medication and AAI checks, communication with relevant staff, policy review support and incident learning.</w:t>
            </w:r>
          </w:p>
        </w:tc>
      </w:tr>
      <w:tr w:rsidR="008E3BE3" w14:paraId="1AA525A5" w14:textId="77777777" w:rsidTr="00FF202F">
        <w:trPr>
          <w:trHeight w:val="1895"/>
        </w:trPr>
        <w:tc>
          <w:tcPr>
            <w:tcW w:w="3320" w:type="dxa"/>
            <w:vAlign w:val="center"/>
          </w:tcPr>
          <w:p w14:paraId="6D8B2B1A" w14:textId="2778E6A3" w:rsidR="008E3BE3" w:rsidRPr="00E321DF" w:rsidRDefault="00265B6A" w:rsidP="00FF202F">
            <w:pPr>
              <w:rPr>
                <w:color w:val="276E8B" w:themeColor="accent1" w:themeShade="BF"/>
              </w:rPr>
            </w:pPr>
            <w:r>
              <w:rPr>
                <w:color w:val="276E8B" w:themeColor="accent1" w:themeShade="BF"/>
              </w:rPr>
              <w:t>Mrs Richelle Cooper</w:t>
            </w:r>
          </w:p>
        </w:tc>
        <w:tc>
          <w:tcPr>
            <w:tcW w:w="3320" w:type="dxa"/>
            <w:vAlign w:val="center"/>
          </w:tcPr>
          <w:p w14:paraId="200D7A2F" w14:textId="56BEB322" w:rsidR="008E3BE3" w:rsidRPr="00FF202F" w:rsidRDefault="00954217" w:rsidP="00FF202F">
            <w:pPr>
              <w:rPr>
                <w:color w:val="000000" w:themeColor="text1"/>
              </w:rPr>
            </w:pPr>
            <w:r w:rsidRPr="00FF202F">
              <w:rPr>
                <w:color w:val="000000" w:themeColor="text1"/>
              </w:rPr>
              <w:t>Deputy Allergy and Anaphylaxis Lead</w:t>
            </w:r>
          </w:p>
        </w:tc>
        <w:tc>
          <w:tcPr>
            <w:tcW w:w="3322" w:type="dxa"/>
            <w:vAlign w:val="center"/>
          </w:tcPr>
          <w:p w14:paraId="0C642E1D" w14:textId="4CAC2B50" w:rsidR="008E3BE3" w:rsidRDefault="00945E34" w:rsidP="00945E34">
            <w:r w:rsidRPr="00945E34">
              <w:rPr>
                <w:lang w:val="en-GB"/>
              </w:rPr>
              <w:t>Support the operational lead and provide cover for key allergy and anaphylaxis arrangements where required.</w:t>
            </w:r>
          </w:p>
        </w:tc>
      </w:tr>
    </w:tbl>
    <w:p w14:paraId="672A6659" w14:textId="77777777" w:rsidR="00AB66DB" w:rsidRDefault="00D03085">
      <w:r>
        <w:br w:type="page"/>
      </w:r>
    </w:p>
    <w:p w14:paraId="551073C4" w14:textId="77777777" w:rsidR="00AB66DB" w:rsidRPr="00775D4E" w:rsidRDefault="00D03085" w:rsidP="00FC072F">
      <w:pPr>
        <w:pStyle w:val="Heading1"/>
        <w:spacing w:line="360" w:lineRule="auto"/>
        <w:rPr>
          <w:bCs w:val="0"/>
          <w:color w:val="800080"/>
        </w:rPr>
      </w:pPr>
      <w:r w:rsidRPr="00775D4E">
        <w:rPr>
          <w:rFonts w:ascii="Arial" w:eastAsia="Arial" w:hAnsi="Arial"/>
          <w:bCs w:val="0"/>
          <w:color w:val="800080"/>
        </w:rPr>
        <w:t>1. Statement of intent</w:t>
      </w:r>
    </w:p>
    <w:p w14:paraId="34603C5F" w14:textId="6C200BE9" w:rsidR="009C2006" w:rsidRPr="009C2006" w:rsidRDefault="00265B6A" w:rsidP="009C2006">
      <w:pPr>
        <w:rPr>
          <w:color w:val="000000" w:themeColor="text1"/>
        </w:rPr>
      </w:pPr>
      <w:r>
        <w:rPr>
          <w:color w:val="276E8B" w:themeColor="accent1" w:themeShade="BF"/>
        </w:rPr>
        <w:t xml:space="preserve">St. John’s Primary School and Nursery </w:t>
      </w:r>
      <w:r w:rsidR="009C2006" w:rsidRPr="009C2006">
        <w:rPr>
          <w:color w:val="000000" w:themeColor="text1"/>
        </w:rPr>
        <w:t>is committed to supporting pupils with allergies so that they can participate in school life as fully and safely as possible. Allergies will be taken seriously and managed through a whole-school allergy safety approach that reduces the risk of exposure to known allergens, supports inclusion and wellbeing, promotes appropriate awareness, and enables a prompt response in an emergency.</w:t>
      </w:r>
    </w:p>
    <w:p w14:paraId="6675865E" w14:textId="77777777" w:rsidR="009C2006" w:rsidRPr="009C2006" w:rsidRDefault="009C2006" w:rsidP="009C2006">
      <w:pPr>
        <w:rPr>
          <w:color w:val="000000" w:themeColor="text1"/>
        </w:rPr>
      </w:pPr>
      <w:r w:rsidRPr="009C2006">
        <w:rPr>
          <w:color w:val="000000" w:themeColor="text1"/>
        </w:rPr>
        <w:t>The purpose of this policy is to:</w:t>
      </w:r>
    </w:p>
    <w:p w14:paraId="28EB080F" w14:textId="67902EF3" w:rsidR="009C2006" w:rsidRPr="009C2006" w:rsidRDefault="009C2006" w:rsidP="00777461">
      <w:pPr>
        <w:pStyle w:val="ListParagraph"/>
        <w:numPr>
          <w:ilvl w:val="0"/>
          <w:numId w:val="9"/>
        </w:numPr>
        <w:rPr>
          <w:color w:val="000000" w:themeColor="text1"/>
        </w:rPr>
      </w:pPr>
      <w:r w:rsidRPr="009C2006">
        <w:rPr>
          <w:color w:val="000000" w:themeColor="text1"/>
        </w:rPr>
        <w:t>reduce the risk of allergic reactions and anaphylaxis while pupils are at school or taking part in school-related activities</w:t>
      </w:r>
    </w:p>
    <w:p w14:paraId="5BA0F659" w14:textId="31E4098F" w:rsidR="009C2006" w:rsidRPr="009C2006" w:rsidRDefault="009C2006" w:rsidP="00777461">
      <w:pPr>
        <w:pStyle w:val="ListParagraph"/>
        <w:numPr>
          <w:ilvl w:val="0"/>
          <w:numId w:val="9"/>
        </w:numPr>
        <w:rPr>
          <w:color w:val="000000" w:themeColor="text1"/>
        </w:rPr>
      </w:pPr>
      <w:r w:rsidRPr="009C2006">
        <w:rPr>
          <w:color w:val="000000" w:themeColor="text1"/>
        </w:rPr>
        <w:t xml:space="preserve">ensure staff know how to </w:t>
      </w:r>
      <w:proofErr w:type="spellStart"/>
      <w:r w:rsidRPr="009C2006">
        <w:rPr>
          <w:color w:val="000000" w:themeColor="text1"/>
        </w:rPr>
        <w:t>recognise</w:t>
      </w:r>
      <w:proofErr w:type="spellEnd"/>
      <w:r w:rsidRPr="009C2006">
        <w:rPr>
          <w:color w:val="000000" w:themeColor="text1"/>
        </w:rPr>
        <w:t xml:space="preserve"> allergic reactions and anaphylaxis, and how to respond in an emergency</w:t>
      </w:r>
    </w:p>
    <w:p w14:paraId="49179870" w14:textId="1043E917" w:rsidR="009C2006" w:rsidRPr="009C2006" w:rsidRDefault="009C2006" w:rsidP="00777461">
      <w:pPr>
        <w:pStyle w:val="ListParagraph"/>
        <w:numPr>
          <w:ilvl w:val="0"/>
          <w:numId w:val="9"/>
        </w:numPr>
        <w:rPr>
          <w:color w:val="000000" w:themeColor="text1"/>
        </w:rPr>
      </w:pPr>
      <w:r w:rsidRPr="009C2006">
        <w:rPr>
          <w:color w:val="000000" w:themeColor="text1"/>
        </w:rPr>
        <w:t>set out arrangements for Allergy Action Plans, Individual Healthcare Plans, Individual Allergy Risk Assessments where required, prescribed medication, spare adrenaline auto-injectors and emergency response</w:t>
      </w:r>
    </w:p>
    <w:p w14:paraId="293FCDF1" w14:textId="5A85E005" w:rsidR="009C2006" w:rsidRPr="009C2006" w:rsidRDefault="009C2006" w:rsidP="00777461">
      <w:pPr>
        <w:pStyle w:val="ListParagraph"/>
        <w:numPr>
          <w:ilvl w:val="0"/>
          <w:numId w:val="9"/>
        </w:numPr>
        <w:rPr>
          <w:color w:val="000000" w:themeColor="text1"/>
        </w:rPr>
      </w:pPr>
      <w:r w:rsidRPr="009C2006">
        <w:rPr>
          <w:color w:val="000000" w:themeColor="text1"/>
        </w:rPr>
        <w:t>promote inclusion, wellbeing and reasonable adjustments for pupils with allergies</w:t>
      </w:r>
    </w:p>
    <w:p w14:paraId="0FCC5472" w14:textId="68F2FE50" w:rsidR="009C2006" w:rsidRPr="009C2006" w:rsidRDefault="009C2006" w:rsidP="00777461">
      <w:pPr>
        <w:pStyle w:val="ListParagraph"/>
        <w:numPr>
          <w:ilvl w:val="0"/>
          <w:numId w:val="9"/>
        </w:numPr>
        <w:rPr>
          <w:color w:val="000000" w:themeColor="text1"/>
        </w:rPr>
      </w:pPr>
      <w:r w:rsidRPr="009C2006">
        <w:rPr>
          <w:color w:val="000000" w:themeColor="text1"/>
        </w:rPr>
        <w:t>provide clarity for staff, parents/carers, pupils, governors/trustees and catering providers about roles and responsibilities</w:t>
      </w:r>
    </w:p>
    <w:p w14:paraId="2CD04E3D" w14:textId="3C0041C6" w:rsidR="009C2006" w:rsidRPr="009C2006" w:rsidRDefault="009C2006" w:rsidP="00777461">
      <w:pPr>
        <w:pStyle w:val="ListParagraph"/>
        <w:numPr>
          <w:ilvl w:val="0"/>
          <w:numId w:val="9"/>
        </w:numPr>
        <w:rPr>
          <w:color w:val="000000" w:themeColor="text1"/>
        </w:rPr>
      </w:pPr>
      <w:r w:rsidRPr="009C2006">
        <w:rPr>
          <w:color w:val="000000" w:themeColor="text1"/>
        </w:rPr>
        <w:t>ensure allergic reactions, serious incidents and near misses are recorded, reviewed and used to improve arrangements</w:t>
      </w:r>
    </w:p>
    <w:p w14:paraId="4CFA24A5" w14:textId="6CF9525A" w:rsidR="009C2006" w:rsidRDefault="009C2006" w:rsidP="00777461">
      <w:pPr>
        <w:pStyle w:val="ListParagraph"/>
        <w:numPr>
          <w:ilvl w:val="0"/>
          <w:numId w:val="9"/>
        </w:numPr>
        <w:rPr>
          <w:color w:val="000000" w:themeColor="text1"/>
        </w:rPr>
      </w:pPr>
      <w:r w:rsidRPr="009C2006">
        <w:rPr>
          <w:color w:val="000000" w:themeColor="text1"/>
        </w:rPr>
        <w:t>support the school to meet relevant allergy safety, medical needs, safeguarding, equality and health and safety responsibilities.</w:t>
      </w:r>
    </w:p>
    <w:p w14:paraId="4A81A474" w14:textId="0792A552" w:rsidR="003E6AF5" w:rsidRDefault="003E6AF5" w:rsidP="00E5048F">
      <w:pPr>
        <w:rPr>
          <w:color w:val="000000" w:themeColor="text1"/>
        </w:rPr>
      </w:pPr>
      <w:r w:rsidRPr="003E6AF5">
        <w:rPr>
          <w:color w:val="000000" w:themeColor="text1"/>
        </w:rPr>
        <w:t>This Statement of Intent and the accompanying Allergy and Anaphylaxis Policy have been adopted by the school and approved through its local governance arrangements.</w:t>
      </w:r>
    </w:p>
    <w:tbl>
      <w:tblPr>
        <w:tblStyle w:val="TableGrid1"/>
        <w:tblW w:w="910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3"/>
        <w:gridCol w:w="2228"/>
        <w:gridCol w:w="2763"/>
        <w:gridCol w:w="1191"/>
      </w:tblGrid>
      <w:tr w:rsidR="00B23C85" w:rsidRPr="00B23C85" w14:paraId="7C47D3DF" w14:textId="77777777" w:rsidTr="00F1384B">
        <w:trPr>
          <w:trHeight w:val="53"/>
        </w:trPr>
        <w:tc>
          <w:tcPr>
            <w:tcW w:w="2959" w:type="dxa"/>
          </w:tcPr>
          <w:p w14:paraId="1EADE958" w14:textId="77777777" w:rsidR="00B23C85" w:rsidRPr="00B23C85" w:rsidRDefault="00B23C85" w:rsidP="00B23C85">
            <w:pPr>
              <w:rPr>
                <w:rFonts w:eastAsia="Calibri" w:cs="Arial"/>
                <w:i/>
                <w:iCs/>
                <w:color w:val="800080"/>
                <w:spacing w:val="5"/>
                <w:szCs w:val="24"/>
              </w:rPr>
            </w:pPr>
            <w:r w:rsidRPr="00B23C85">
              <w:rPr>
                <w:rFonts w:eastAsia="Calibri" w:cs="Arial"/>
                <w:i/>
                <w:iCs/>
                <w:color w:val="800080"/>
                <w:spacing w:val="5"/>
                <w:szCs w:val="24"/>
              </w:rPr>
              <w:t xml:space="preserve">Role </w:t>
            </w:r>
          </w:p>
        </w:tc>
        <w:tc>
          <w:tcPr>
            <w:tcW w:w="2251" w:type="dxa"/>
          </w:tcPr>
          <w:p w14:paraId="10DD9F60" w14:textId="77777777" w:rsidR="00B23C85" w:rsidRPr="00B23C85" w:rsidRDefault="00B23C85" w:rsidP="00B23C85">
            <w:pPr>
              <w:rPr>
                <w:rFonts w:eastAsia="Calibri" w:cs="Arial"/>
                <w:i/>
                <w:iCs/>
                <w:color w:val="800080"/>
                <w:spacing w:val="5"/>
                <w:szCs w:val="24"/>
              </w:rPr>
            </w:pPr>
            <w:r w:rsidRPr="00B23C85">
              <w:rPr>
                <w:rFonts w:eastAsia="Calibri" w:cs="Arial"/>
                <w:i/>
                <w:iCs/>
                <w:color w:val="800080"/>
                <w:spacing w:val="5"/>
                <w:szCs w:val="24"/>
              </w:rPr>
              <w:t>Name</w:t>
            </w:r>
          </w:p>
        </w:tc>
        <w:tc>
          <w:tcPr>
            <w:tcW w:w="2803" w:type="dxa"/>
          </w:tcPr>
          <w:p w14:paraId="2137E784" w14:textId="77777777" w:rsidR="00B23C85" w:rsidRPr="00B23C85" w:rsidRDefault="00B23C85" w:rsidP="00B23C85">
            <w:pPr>
              <w:rPr>
                <w:rFonts w:eastAsia="Calibri" w:cs="Arial"/>
                <w:i/>
                <w:iCs/>
                <w:color w:val="800080"/>
                <w:spacing w:val="5"/>
                <w:szCs w:val="24"/>
              </w:rPr>
            </w:pPr>
            <w:r w:rsidRPr="00B23C85">
              <w:rPr>
                <w:rFonts w:eastAsia="Calibri" w:cs="Arial"/>
                <w:i/>
                <w:iCs/>
                <w:color w:val="800080"/>
                <w:spacing w:val="5"/>
                <w:szCs w:val="24"/>
              </w:rPr>
              <w:t>Signature</w:t>
            </w:r>
          </w:p>
        </w:tc>
        <w:tc>
          <w:tcPr>
            <w:tcW w:w="1092" w:type="dxa"/>
          </w:tcPr>
          <w:p w14:paraId="78B96AEC" w14:textId="77777777" w:rsidR="00B23C85" w:rsidRPr="00B23C85" w:rsidRDefault="00B23C85" w:rsidP="00B23C85">
            <w:pPr>
              <w:rPr>
                <w:rFonts w:eastAsia="Calibri" w:cs="Arial"/>
                <w:i/>
                <w:iCs/>
                <w:color w:val="800080"/>
                <w:spacing w:val="5"/>
                <w:szCs w:val="24"/>
              </w:rPr>
            </w:pPr>
            <w:r w:rsidRPr="00B23C85">
              <w:rPr>
                <w:rFonts w:eastAsia="Calibri" w:cs="Arial"/>
                <w:i/>
                <w:iCs/>
                <w:color w:val="800080"/>
                <w:spacing w:val="5"/>
                <w:szCs w:val="24"/>
              </w:rPr>
              <w:t>Date</w:t>
            </w:r>
          </w:p>
        </w:tc>
      </w:tr>
      <w:tr w:rsidR="00B23C85" w:rsidRPr="00B23C85" w14:paraId="61B87132" w14:textId="77777777" w:rsidTr="00F1384B">
        <w:trPr>
          <w:trHeight w:val="1106"/>
        </w:trPr>
        <w:tc>
          <w:tcPr>
            <w:tcW w:w="2959" w:type="dxa"/>
            <w:vAlign w:val="center"/>
          </w:tcPr>
          <w:p w14:paraId="6A9800D4" w14:textId="77777777" w:rsidR="00B23C85" w:rsidRPr="00B23C85" w:rsidRDefault="00B23C85" w:rsidP="00B23C85">
            <w:pPr>
              <w:rPr>
                <w:rFonts w:eastAsia="Calibri" w:cs="Arial"/>
                <w:b/>
                <w:bCs/>
                <w:i/>
                <w:iCs/>
                <w:spacing w:val="5"/>
                <w:szCs w:val="24"/>
              </w:rPr>
            </w:pPr>
            <w:r w:rsidRPr="00B23C85">
              <w:rPr>
                <w:rFonts w:eastAsia="Calibri" w:cs="Arial"/>
                <w:szCs w:val="24"/>
              </w:rPr>
              <w:t>Headteacher</w:t>
            </w:r>
          </w:p>
        </w:tc>
        <w:tc>
          <w:tcPr>
            <w:tcW w:w="2251" w:type="dxa"/>
            <w:vAlign w:val="center"/>
          </w:tcPr>
          <w:p w14:paraId="6464B7BB" w14:textId="549DEB10" w:rsidR="00B23C85" w:rsidRPr="00B23C85" w:rsidRDefault="00265B6A" w:rsidP="00B23C85">
            <w:pPr>
              <w:rPr>
                <w:rFonts w:eastAsia="Calibri" w:cs="Arial"/>
                <w:b/>
                <w:bCs/>
                <w:i/>
                <w:iCs/>
                <w:spacing w:val="5"/>
                <w:szCs w:val="24"/>
              </w:rPr>
            </w:pPr>
            <w:r>
              <w:rPr>
                <w:rFonts w:eastAsia="Calibri" w:cs="Arial"/>
                <w:b/>
                <w:bCs/>
                <w:i/>
                <w:iCs/>
                <w:spacing w:val="5"/>
                <w:szCs w:val="24"/>
              </w:rPr>
              <w:t>Mrs Mieke Carvell</w:t>
            </w:r>
          </w:p>
        </w:tc>
        <w:tc>
          <w:tcPr>
            <w:tcW w:w="2803" w:type="dxa"/>
            <w:vAlign w:val="center"/>
          </w:tcPr>
          <w:p w14:paraId="06E95E4C" w14:textId="77777777" w:rsidR="00B23C85" w:rsidRPr="00B23C85" w:rsidRDefault="00B23C85" w:rsidP="00B23C85">
            <w:pPr>
              <w:rPr>
                <w:rFonts w:eastAsia="Calibri" w:cs="Arial"/>
                <w:b/>
                <w:bCs/>
                <w:i/>
                <w:iCs/>
                <w:spacing w:val="5"/>
                <w:szCs w:val="24"/>
              </w:rPr>
            </w:pPr>
          </w:p>
        </w:tc>
        <w:tc>
          <w:tcPr>
            <w:tcW w:w="1092" w:type="dxa"/>
            <w:vAlign w:val="center"/>
          </w:tcPr>
          <w:p w14:paraId="41D34986" w14:textId="1494FF86" w:rsidR="00B23C85" w:rsidRPr="00B23C85" w:rsidRDefault="00265B6A" w:rsidP="00B23C85">
            <w:pPr>
              <w:rPr>
                <w:rFonts w:eastAsia="Calibri" w:cs="Arial"/>
                <w:b/>
                <w:bCs/>
                <w:i/>
                <w:iCs/>
                <w:spacing w:val="5"/>
                <w:szCs w:val="24"/>
              </w:rPr>
            </w:pPr>
            <w:r>
              <w:rPr>
                <w:rFonts w:eastAsia="Calibri" w:cs="Arial"/>
                <w:b/>
                <w:bCs/>
                <w:i/>
                <w:iCs/>
                <w:spacing w:val="5"/>
                <w:szCs w:val="24"/>
              </w:rPr>
              <w:t>24.09</w:t>
            </w:r>
            <w:r w:rsidR="007F2F58">
              <w:rPr>
                <w:rFonts w:eastAsia="Calibri" w:cs="Arial"/>
                <w:b/>
                <w:bCs/>
                <w:i/>
                <w:iCs/>
                <w:spacing w:val="5"/>
                <w:szCs w:val="24"/>
              </w:rPr>
              <w:t>.</w:t>
            </w:r>
            <w:r>
              <w:rPr>
                <w:rFonts w:eastAsia="Calibri" w:cs="Arial"/>
                <w:b/>
                <w:bCs/>
                <w:i/>
                <w:iCs/>
                <w:spacing w:val="5"/>
                <w:szCs w:val="24"/>
              </w:rPr>
              <w:t>26</w:t>
            </w:r>
          </w:p>
        </w:tc>
      </w:tr>
      <w:tr w:rsidR="00B23C85" w:rsidRPr="00B23C85" w14:paraId="2B854CD1" w14:textId="77777777" w:rsidTr="00B23C85">
        <w:trPr>
          <w:trHeight w:val="995"/>
        </w:trPr>
        <w:tc>
          <w:tcPr>
            <w:tcW w:w="2959" w:type="dxa"/>
            <w:vAlign w:val="center"/>
          </w:tcPr>
          <w:p w14:paraId="7BDB6AFE" w14:textId="77777777" w:rsidR="00B23C85" w:rsidRPr="00B23C85" w:rsidRDefault="00B23C85" w:rsidP="00B23C85">
            <w:pPr>
              <w:rPr>
                <w:rFonts w:eastAsia="Calibri" w:cs="Arial"/>
                <w:b/>
                <w:bCs/>
                <w:i/>
                <w:iCs/>
                <w:spacing w:val="5"/>
                <w:szCs w:val="24"/>
              </w:rPr>
            </w:pPr>
            <w:r w:rsidRPr="00B23C85">
              <w:rPr>
                <w:rFonts w:eastAsia="Calibri" w:cs="Arial"/>
                <w:szCs w:val="24"/>
              </w:rPr>
              <w:t>Chair of Governors</w:t>
            </w:r>
          </w:p>
        </w:tc>
        <w:tc>
          <w:tcPr>
            <w:tcW w:w="2251" w:type="dxa"/>
            <w:vAlign w:val="center"/>
          </w:tcPr>
          <w:p w14:paraId="2BA49EB1" w14:textId="057F933A" w:rsidR="00B23C85" w:rsidRPr="00B23C85" w:rsidRDefault="00265B6A" w:rsidP="00B23C85">
            <w:pPr>
              <w:rPr>
                <w:rFonts w:eastAsia="Calibri" w:cs="Arial"/>
                <w:b/>
                <w:bCs/>
                <w:i/>
                <w:iCs/>
                <w:spacing w:val="5"/>
                <w:szCs w:val="24"/>
              </w:rPr>
            </w:pPr>
            <w:r>
              <w:rPr>
                <w:rFonts w:eastAsia="Calibri" w:cs="Arial"/>
                <w:b/>
                <w:bCs/>
                <w:i/>
                <w:iCs/>
                <w:spacing w:val="5"/>
                <w:szCs w:val="24"/>
              </w:rPr>
              <w:t>Mrs Patience Atkinson-Gregory</w:t>
            </w:r>
          </w:p>
        </w:tc>
        <w:tc>
          <w:tcPr>
            <w:tcW w:w="2803" w:type="dxa"/>
            <w:vAlign w:val="center"/>
          </w:tcPr>
          <w:p w14:paraId="6568AF0F" w14:textId="77777777" w:rsidR="00B23C85" w:rsidRPr="00B23C85" w:rsidRDefault="00B23C85" w:rsidP="00B23C85">
            <w:pPr>
              <w:rPr>
                <w:rFonts w:eastAsia="Calibri" w:cs="Arial"/>
                <w:b/>
                <w:bCs/>
                <w:i/>
                <w:iCs/>
                <w:spacing w:val="5"/>
                <w:szCs w:val="24"/>
              </w:rPr>
            </w:pPr>
          </w:p>
        </w:tc>
        <w:tc>
          <w:tcPr>
            <w:tcW w:w="1092" w:type="dxa"/>
            <w:vAlign w:val="center"/>
          </w:tcPr>
          <w:p w14:paraId="7C10CC94" w14:textId="10089716" w:rsidR="00B23C85" w:rsidRPr="00B23C85" w:rsidRDefault="007F2F58" w:rsidP="00B23C85">
            <w:pPr>
              <w:rPr>
                <w:rFonts w:eastAsia="Calibri" w:cs="Arial"/>
                <w:b/>
                <w:bCs/>
                <w:i/>
                <w:iCs/>
                <w:spacing w:val="5"/>
                <w:szCs w:val="24"/>
              </w:rPr>
            </w:pPr>
            <w:r>
              <w:rPr>
                <w:rFonts w:eastAsia="Calibri" w:cs="Arial"/>
                <w:b/>
                <w:bCs/>
                <w:i/>
                <w:iCs/>
                <w:spacing w:val="5"/>
                <w:szCs w:val="24"/>
              </w:rPr>
              <w:t>24.09.26</w:t>
            </w:r>
          </w:p>
        </w:tc>
      </w:tr>
    </w:tbl>
    <w:p w14:paraId="2402E8E9" w14:textId="77777777" w:rsidR="00B23C85" w:rsidRDefault="00B23C85" w:rsidP="00E5048F">
      <w:pPr>
        <w:rPr>
          <w:color w:val="000000" w:themeColor="text1"/>
        </w:rPr>
      </w:pPr>
    </w:p>
    <w:p w14:paraId="1FDCDE15" w14:textId="77777777" w:rsidR="003E6AF5" w:rsidRDefault="003E6AF5">
      <w:pPr>
        <w:rPr>
          <w:color w:val="000000" w:themeColor="text1"/>
        </w:rPr>
      </w:pPr>
      <w:r>
        <w:rPr>
          <w:color w:val="000000" w:themeColor="text1"/>
        </w:rPr>
        <w:br w:type="page"/>
      </w:r>
    </w:p>
    <w:p w14:paraId="2E3BAD62" w14:textId="77777777" w:rsidR="00AB66DB" w:rsidRPr="00775D4E" w:rsidRDefault="00D03085" w:rsidP="00FC072F">
      <w:pPr>
        <w:pStyle w:val="Heading1"/>
        <w:spacing w:before="240" w:line="360" w:lineRule="auto"/>
        <w:rPr>
          <w:bCs w:val="0"/>
          <w:color w:val="800080"/>
        </w:rPr>
      </w:pPr>
      <w:r w:rsidRPr="00775D4E">
        <w:rPr>
          <w:rFonts w:ascii="Arial" w:eastAsia="Arial" w:hAnsi="Arial"/>
          <w:bCs w:val="0"/>
          <w:color w:val="800080"/>
        </w:rPr>
        <w:t>2. Scope</w:t>
      </w:r>
    </w:p>
    <w:p w14:paraId="706D0012" w14:textId="77777777" w:rsidR="00025762" w:rsidRDefault="00025762" w:rsidP="00025762">
      <w:r>
        <w:t>This policy applies to pupils with known or suspected allergies, including those at risk of anaphylaxis. It applies during the school day, on school premises, during educational visits, sporting fixtures, residential visits, breakfast clubs, after-school clubs, wraparound care, school events and other school-arranged activities.</w:t>
      </w:r>
    </w:p>
    <w:p w14:paraId="02B2D6A4" w14:textId="77777777" w:rsidR="00025762" w:rsidRDefault="00025762" w:rsidP="00025762">
      <w:r>
        <w:t>The policy also applies to allergy safety arrangements involving staff, supply staff, volunteers, contractors, catering staff, governors/trustees, visitors and others involved in school activities where allergy management is relevant.</w:t>
      </w:r>
    </w:p>
    <w:p w14:paraId="7E0B71A2" w14:textId="5E058B3D" w:rsidR="00AF182D" w:rsidRDefault="00025762" w:rsidP="00025762">
      <w:r>
        <w:t>This policy will be read alongside the Derbyshire County Council Supporting Pupils with Medical Needs Guidance and the school’s Administration of Medicines Policy, particularly where a pupil requires an Individual Healthcare Plan, prescribed medication, emergency medication or support with medicine administration.</w:t>
      </w:r>
    </w:p>
    <w:p w14:paraId="4411B514" w14:textId="77777777" w:rsidR="00AB66DB" w:rsidRPr="00775D4E" w:rsidRDefault="00D03085" w:rsidP="00FC072F">
      <w:pPr>
        <w:pStyle w:val="Heading1"/>
        <w:spacing w:before="240" w:line="360" w:lineRule="auto"/>
        <w:rPr>
          <w:bCs w:val="0"/>
          <w:color w:val="800080"/>
        </w:rPr>
      </w:pPr>
      <w:r w:rsidRPr="00775D4E">
        <w:rPr>
          <w:rFonts w:ascii="Arial" w:eastAsia="Arial" w:hAnsi="Arial"/>
          <w:bCs w:val="0"/>
          <w:color w:val="800080"/>
        </w:rPr>
        <w:t>3. Legal and guidance context</w:t>
      </w:r>
    </w:p>
    <w:p w14:paraId="53208815" w14:textId="77777777" w:rsidR="00206E3E" w:rsidRDefault="00206E3E" w:rsidP="00206E3E">
      <w:r w:rsidRPr="00206E3E">
        <w:t>This policy has been developed with reference to the following legislation, statutory guidance and relevant good practice:</w:t>
      </w:r>
    </w:p>
    <w:p w14:paraId="66F41F02" w14:textId="4FF708FC" w:rsidR="00276192" w:rsidRDefault="00276192" w:rsidP="00777461">
      <w:pPr>
        <w:pStyle w:val="ListParagraph"/>
        <w:numPr>
          <w:ilvl w:val="0"/>
          <w:numId w:val="8"/>
        </w:numPr>
      </w:pPr>
      <w:r>
        <w:t xml:space="preserve">Children and Families Act 2014, section 100, which requires schools to </w:t>
      </w:r>
      <w:proofErr w:type="gramStart"/>
      <w:r>
        <w:t>make arrangements</w:t>
      </w:r>
      <w:proofErr w:type="gramEnd"/>
      <w:r>
        <w:t xml:space="preserve"> to support pupils with medical conditions.</w:t>
      </w:r>
    </w:p>
    <w:p w14:paraId="3E568EE1" w14:textId="3B2B886E" w:rsidR="00276192" w:rsidRDefault="00276192" w:rsidP="00777461">
      <w:pPr>
        <w:pStyle w:val="ListParagraph"/>
        <w:numPr>
          <w:ilvl w:val="0"/>
          <w:numId w:val="8"/>
        </w:numPr>
      </w:pPr>
      <w:r>
        <w:t>Children’s Wellbeing and Schools Act 2026, section 34, which requires schools’ section 100 arrangements to include an allergy safety policy. The policy must be published, kept under review and reviewed at least annually.</w:t>
      </w:r>
    </w:p>
    <w:p w14:paraId="19B430F2" w14:textId="5E078A2A" w:rsidR="00276192" w:rsidRDefault="00276192" w:rsidP="00777461">
      <w:pPr>
        <w:pStyle w:val="ListParagraph"/>
        <w:numPr>
          <w:ilvl w:val="0"/>
          <w:numId w:val="8"/>
        </w:numPr>
      </w:pPr>
      <w:r>
        <w:t>Department for Education statutory guidance: Supporting pupils at school with medical conditions.</w:t>
      </w:r>
    </w:p>
    <w:p w14:paraId="30C67A46" w14:textId="23F15483" w:rsidR="00276192" w:rsidRDefault="00276192" w:rsidP="00777461">
      <w:pPr>
        <w:pStyle w:val="ListParagraph"/>
        <w:numPr>
          <w:ilvl w:val="0"/>
          <w:numId w:val="8"/>
        </w:numPr>
      </w:pPr>
      <w:r>
        <w:t>Department for Education statutory guidance: Allergy safety in schools.</w:t>
      </w:r>
    </w:p>
    <w:p w14:paraId="494D9869" w14:textId="5782B271" w:rsidR="00276192" w:rsidRDefault="00276192" w:rsidP="00777461">
      <w:pPr>
        <w:pStyle w:val="ListParagraph"/>
        <w:numPr>
          <w:ilvl w:val="0"/>
          <w:numId w:val="8"/>
        </w:numPr>
      </w:pPr>
      <w:r>
        <w:t>Department for Education Allergy safety policy template.</w:t>
      </w:r>
    </w:p>
    <w:p w14:paraId="40DCCAD6" w14:textId="648CC5E8" w:rsidR="00276192" w:rsidRDefault="00276192" w:rsidP="00777461">
      <w:pPr>
        <w:pStyle w:val="ListParagraph"/>
        <w:numPr>
          <w:ilvl w:val="0"/>
          <w:numId w:val="8"/>
        </w:numPr>
      </w:pPr>
      <w:r>
        <w:t>Department of Health and Social Care guidance on emergency adrenaline auto-injectors in schools.</w:t>
      </w:r>
    </w:p>
    <w:p w14:paraId="715E53A6" w14:textId="6D108D26" w:rsidR="00276192" w:rsidRDefault="00276192" w:rsidP="00777461">
      <w:pPr>
        <w:pStyle w:val="ListParagraph"/>
        <w:numPr>
          <w:ilvl w:val="0"/>
          <w:numId w:val="8"/>
        </w:numPr>
      </w:pPr>
      <w:r>
        <w:t>Food Information Regulations 2014 and associated allergen information requirements.</w:t>
      </w:r>
    </w:p>
    <w:p w14:paraId="4ABBF453" w14:textId="417B9E95" w:rsidR="00276192" w:rsidRDefault="00276192" w:rsidP="00777461">
      <w:pPr>
        <w:pStyle w:val="ListParagraph"/>
        <w:numPr>
          <w:ilvl w:val="0"/>
          <w:numId w:val="8"/>
        </w:numPr>
      </w:pPr>
      <w:r>
        <w:t>Food Standards Agency guidance on allergen information and food allergen management.</w:t>
      </w:r>
    </w:p>
    <w:p w14:paraId="2798F915" w14:textId="3D76989F" w:rsidR="00276192" w:rsidRDefault="00276192" w:rsidP="00777461">
      <w:pPr>
        <w:pStyle w:val="ListParagraph"/>
        <w:numPr>
          <w:ilvl w:val="0"/>
          <w:numId w:val="8"/>
        </w:numPr>
      </w:pPr>
      <w:r>
        <w:t>Equality Act 2010, where a pupil’s allergy may amount to a disability and reasonable adjustments may be required.</w:t>
      </w:r>
    </w:p>
    <w:p w14:paraId="329867CE" w14:textId="224BED2E" w:rsidR="00276192" w:rsidRDefault="00276192" w:rsidP="00777461">
      <w:pPr>
        <w:pStyle w:val="ListParagraph"/>
        <w:numPr>
          <w:ilvl w:val="0"/>
          <w:numId w:val="8"/>
        </w:numPr>
      </w:pPr>
      <w:r>
        <w:t>Keeping Children Safe in Education, where safeguarding, inclusion and bullying considerations are relevant.</w:t>
      </w:r>
    </w:p>
    <w:p w14:paraId="64492E00" w14:textId="6D3A20CC" w:rsidR="00276192" w:rsidRDefault="00276192" w:rsidP="00777461">
      <w:pPr>
        <w:pStyle w:val="ListParagraph"/>
        <w:numPr>
          <w:ilvl w:val="0"/>
          <w:numId w:val="8"/>
        </w:numPr>
      </w:pPr>
      <w:r>
        <w:t>Derbyshire County Council Supporting Pupils with Medical Needs Guidance and the school’s Administration of Medicines Policy.</w:t>
      </w:r>
    </w:p>
    <w:p w14:paraId="5FF418EA" w14:textId="633E246D" w:rsidR="00AB66DB" w:rsidRPr="00775D4E" w:rsidRDefault="006A576E" w:rsidP="00FC072F">
      <w:pPr>
        <w:pStyle w:val="Heading1"/>
        <w:spacing w:before="240" w:line="360" w:lineRule="auto"/>
        <w:rPr>
          <w:bCs w:val="0"/>
          <w:color w:val="800080"/>
        </w:rPr>
      </w:pPr>
      <w:r>
        <w:rPr>
          <w:rFonts w:ascii="Arial" w:eastAsia="Arial" w:hAnsi="Arial"/>
          <w:bCs w:val="0"/>
          <w:color w:val="800080"/>
        </w:rPr>
        <w:t>4</w:t>
      </w:r>
      <w:r w:rsidR="00D03085" w:rsidRPr="00775D4E">
        <w:rPr>
          <w:rFonts w:ascii="Arial" w:eastAsia="Arial" w:hAnsi="Arial"/>
          <w:bCs w:val="0"/>
          <w:color w:val="800080"/>
        </w:rPr>
        <w:t>. Whole-school allergy safety principles</w:t>
      </w:r>
    </w:p>
    <w:p w14:paraId="31B64BBE" w14:textId="77777777" w:rsidR="006B43E5" w:rsidRDefault="006B43E5" w:rsidP="006B43E5">
      <w:pPr>
        <w:pStyle w:val="ListBullet"/>
        <w:tabs>
          <w:tab w:val="clear" w:pos="360"/>
          <w:tab w:val="num" w:pos="720"/>
        </w:tabs>
        <w:ind w:left="720"/>
      </w:pPr>
      <w:r>
        <w:t>The school will adopt a whole-school allergy awareness approach rather than relying only on individual staff, catering controls or lunchtime arrangements.</w:t>
      </w:r>
    </w:p>
    <w:p w14:paraId="2A2807A3" w14:textId="77777777" w:rsidR="006B43E5" w:rsidRDefault="006B43E5" w:rsidP="006B43E5">
      <w:pPr>
        <w:pStyle w:val="ListBullet"/>
        <w:tabs>
          <w:tab w:val="clear" w:pos="360"/>
          <w:tab w:val="num" w:pos="720"/>
        </w:tabs>
        <w:ind w:left="720"/>
      </w:pPr>
      <w:r>
        <w:t xml:space="preserve">The school will take reasonable and proportionate steps to reduce the risk of exposure to known allergens. Allergy risks will be </w:t>
      </w:r>
      <w:proofErr w:type="gramStart"/>
      <w:r>
        <w:t>considered where</w:t>
      </w:r>
      <w:proofErr w:type="gramEnd"/>
      <w:r>
        <w:t xml:space="preserve"> relevant in food provision, food brought in by others, curriculum activities, science, design and technology, art and craft, cooking, rewards, fundraising, celebrations, visitors, trips, clubs, events, animals and outdoor activities.</w:t>
      </w:r>
    </w:p>
    <w:p w14:paraId="5C805A01" w14:textId="77777777" w:rsidR="006B43E5" w:rsidRDefault="006B43E5" w:rsidP="006B43E5">
      <w:pPr>
        <w:pStyle w:val="ListBullet"/>
        <w:tabs>
          <w:tab w:val="clear" w:pos="360"/>
          <w:tab w:val="num" w:pos="720"/>
        </w:tabs>
        <w:ind w:left="720"/>
      </w:pPr>
      <w:r>
        <w:t>Where pupils have known allergies to airborne or contact allergens, the school will consider reasonable measures to reduce the risk of exposure.</w:t>
      </w:r>
    </w:p>
    <w:p w14:paraId="65990B7A" w14:textId="77777777" w:rsidR="006B43E5" w:rsidRDefault="006B43E5" w:rsidP="006B43E5">
      <w:pPr>
        <w:pStyle w:val="ListBullet"/>
        <w:tabs>
          <w:tab w:val="clear" w:pos="360"/>
          <w:tab w:val="num" w:pos="720"/>
        </w:tabs>
        <w:ind w:left="720"/>
      </w:pPr>
      <w:r>
        <w:t>Pupils with allergies will be supported to participate in school life wherever this can be achieved safely through reasonable adjustments and proportionate risk management.</w:t>
      </w:r>
    </w:p>
    <w:p w14:paraId="0C1E6EEA" w14:textId="77777777" w:rsidR="006B43E5" w:rsidRDefault="006B43E5" w:rsidP="006B43E5">
      <w:pPr>
        <w:pStyle w:val="ListBullet"/>
        <w:tabs>
          <w:tab w:val="clear" w:pos="360"/>
          <w:tab w:val="num" w:pos="720"/>
        </w:tabs>
        <w:ind w:left="720"/>
      </w:pPr>
      <w:r>
        <w:t>The school will not claim to be allergen-free, as this cannot be guaranteed. Where specific restrictions are introduced, these will be based on individual need, risk assessment and clear communication.</w:t>
      </w:r>
    </w:p>
    <w:p w14:paraId="1D2BB63D" w14:textId="77777777" w:rsidR="005E5E9D" w:rsidRDefault="005E5E9D" w:rsidP="006B43E5">
      <w:pPr>
        <w:pStyle w:val="ListBullet"/>
        <w:tabs>
          <w:tab w:val="clear" w:pos="360"/>
          <w:tab w:val="num" w:pos="720"/>
        </w:tabs>
        <w:ind w:left="720"/>
      </w:pPr>
      <w:r w:rsidRPr="005E5E9D">
        <w:t>The school will identify and maintain an appropriate number of staff who are trained and willing, or whose role includes responsibility, to support allergy emergency arrangements, including access to prescribed and spare adrenaline auto-injectors where held. All staff will know how to summon help, call 999 in the event of suspected anaphylaxis and follow emergency instructions. Staff will only be expected to administer allergy medication where they have agreed to do so and have received appropriate information, instruction or training, unless this forms part of their contract, role or job description. This does not prevent any member of staff from taking reasonable emergency action to preserve life, including calling 999 or following emergency services advice.</w:t>
      </w:r>
    </w:p>
    <w:p w14:paraId="75376EE2" w14:textId="208EB112" w:rsidR="006B43E5" w:rsidRDefault="006B43E5" w:rsidP="006B43E5">
      <w:pPr>
        <w:pStyle w:val="ListBullet"/>
        <w:tabs>
          <w:tab w:val="clear" w:pos="360"/>
          <w:tab w:val="num" w:pos="720"/>
        </w:tabs>
        <w:ind w:left="720"/>
      </w:pPr>
      <w:r>
        <w:t>Allergic reactions, serious incidents, near misses and concerns will be recorded, reviewed and used to improve arrangements.</w:t>
      </w:r>
    </w:p>
    <w:p w14:paraId="19BA2EC4" w14:textId="75294DAA" w:rsidR="00AB66DB" w:rsidRPr="00775D4E" w:rsidRDefault="006A576E" w:rsidP="007C6502">
      <w:pPr>
        <w:pStyle w:val="Heading1"/>
        <w:spacing w:before="240"/>
        <w:rPr>
          <w:bCs w:val="0"/>
          <w:color w:val="800080"/>
        </w:rPr>
      </w:pPr>
      <w:r>
        <w:rPr>
          <w:rFonts w:ascii="Arial" w:eastAsia="Arial" w:hAnsi="Arial"/>
          <w:bCs w:val="0"/>
          <w:color w:val="800080"/>
        </w:rPr>
        <w:t>5</w:t>
      </w:r>
      <w:r w:rsidR="00D03085" w:rsidRPr="00775D4E">
        <w:rPr>
          <w:rFonts w:ascii="Arial" w:eastAsia="Arial" w:hAnsi="Arial"/>
          <w:bCs w:val="0"/>
          <w:color w:val="800080"/>
        </w:rPr>
        <w:t>. Roles and responsibilities</w:t>
      </w:r>
    </w:p>
    <w:p w14:paraId="170B93BF" w14:textId="1C782AF1" w:rsidR="00AB66DB" w:rsidRPr="00775D4E" w:rsidRDefault="006A576E" w:rsidP="0016319B">
      <w:pPr>
        <w:pStyle w:val="Heading2"/>
        <w:ind w:left="111"/>
        <w:rPr>
          <w:color w:val="800080"/>
        </w:rPr>
      </w:pPr>
      <w:r>
        <w:rPr>
          <w:rFonts w:ascii="Arial" w:eastAsia="Arial" w:hAnsi="Arial"/>
          <w:b w:val="0"/>
          <w:color w:val="800080"/>
        </w:rPr>
        <w:t>5</w:t>
      </w:r>
      <w:r w:rsidR="00D03085" w:rsidRPr="00775D4E">
        <w:rPr>
          <w:rFonts w:ascii="Arial" w:eastAsia="Arial" w:hAnsi="Arial"/>
          <w:b w:val="0"/>
          <w:color w:val="800080"/>
        </w:rPr>
        <w:t>.1 Governing body or trust board</w:t>
      </w:r>
      <w:r w:rsidR="001E6231">
        <w:rPr>
          <w:rFonts w:ascii="Arial" w:eastAsia="Arial" w:hAnsi="Arial"/>
          <w:b w:val="0"/>
          <w:color w:val="800080"/>
        </w:rPr>
        <w:t xml:space="preserve"> will:</w:t>
      </w:r>
    </w:p>
    <w:p w14:paraId="1DB1290C" w14:textId="0265969A" w:rsidR="001E6231" w:rsidRDefault="001E6231" w:rsidP="00777461">
      <w:pPr>
        <w:pStyle w:val="ListBullet"/>
        <w:numPr>
          <w:ilvl w:val="0"/>
          <w:numId w:val="10"/>
        </w:numPr>
      </w:pPr>
      <w:r>
        <w:t>ensure the school has appropriate arrangements for supporting pupils with allergies and other medical conditions</w:t>
      </w:r>
    </w:p>
    <w:p w14:paraId="30807219" w14:textId="0E4F36E3" w:rsidR="001E6231" w:rsidRDefault="001E6231" w:rsidP="00777461">
      <w:pPr>
        <w:pStyle w:val="ListBullet"/>
        <w:numPr>
          <w:ilvl w:val="0"/>
          <w:numId w:val="10"/>
        </w:numPr>
      </w:pPr>
      <w:r>
        <w:t>approve and monitor this policy and ensure it is published, accessible and reviewed at least annually</w:t>
      </w:r>
    </w:p>
    <w:p w14:paraId="4AA60086" w14:textId="0FF96B00" w:rsidR="001E6231" w:rsidRDefault="001E6231" w:rsidP="00777461">
      <w:pPr>
        <w:pStyle w:val="ListBullet"/>
        <w:numPr>
          <w:ilvl w:val="0"/>
          <w:numId w:val="10"/>
        </w:numPr>
      </w:pPr>
      <w:r>
        <w:t>ensure a Named Senior Leader is identified for allergy safety</w:t>
      </w:r>
    </w:p>
    <w:p w14:paraId="5D6EED8B" w14:textId="6E8AA2E2" w:rsidR="001E6231" w:rsidRDefault="001E6231" w:rsidP="00777461">
      <w:pPr>
        <w:pStyle w:val="ListBullet"/>
        <w:numPr>
          <w:ilvl w:val="0"/>
          <w:numId w:val="10"/>
        </w:numPr>
      </w:pPr>
      <w:r>
        <w:t>seek assurance that suitable training, resources and arrangements are in place to manage allergy risks</w:t>
      </w:r>
    </w:p>
    <w:p w14:paraId="039BD7AC" w14:textId="5797A7AB" w:rsidR="001E6231" w:rsidRDefault="001E6231" w:rsidP="00777461">
      <w:pPr>
        <w:pStyle w:val="ListBullet"/>
        <w:numPr>
          <w:ilvl w:val="0"/>
          <w:numId w:val="10"/>
        </w:numPr>
      </w:pPr>
      <w:r>
        <w:t>seek assurance that allergic reactions, serious incidents and near misses are reviewed and that learning is acted upon</w:t>
      </w:r>
    </w:p>
    <w:p w14:paraId="096A20EA" w14:textId="700836CA" w:rsidR="00FB4278" w:rsidRDefault="001E6231" w:rsidP="00777461">
      <w:pPr>
        <w:pStyle w:val="ListBullet"/>
        <w:numPr>
          <w:ilvl w:val="0"/>
          <w:numId w:val="10"/>
        </w:numPr>
      </w:pPr>
      <w:r>
        <w:t>ensure the school meets relevant legal duties, including medical conditions, allergy safety, equality, safeguarding and data protection requirements.</w:t>
      </w:r>
    </w:p>
    <w:p w14:paraId="50B50959" w14:textId="7F87AB07" w:rsidR="00AB66DB" w:rsidRPr="00775D4E" w:rsidRDefault="006A576E" w:rsidP="0016319B">
      <w:pPr>
        <w:pStyle w:val="Heading2"/>
        <w:ind w:left="111"/>
        <w:rPr>
          <w:color w:val="800080"/>
        </w:rPr>
      </w:pPr>
      <w:r>
        <w:rPr>
          <w:rFonts w:ascii="Arial" w:eastAsia="Arial" w:hAnsi="Arial"/>
          <w:b w:val="0"/>
          <w:color w:val="800080"/>
        </w:rPr>
        <w:t>5</w:t>
      </w:r>
      <w:r w:rsidR="00D03085" w:rsidRPr="00775D4E">
        <w:rPr>
          <w:rFonts w:ascii="Arial" w:eastAsia="Arial" w:hAnsi="Arial"/>
          <w:b w:val="0"/>
          <w:color w:val="800080"/>
        </w:rPr>
        <w:t xml:space="preserve">.2 Headteacher </w:t>
      </w:r>
      <w:r w:rsidR="00041881">
        <w:rPr>
          <w:rFonts w:ascii="Arial" w:eastAsia="Arial" w:hAnsi="Arial"/>
          <w:b w:val="0"/>
          <w:color w:val="800080"/>
        </w:rPr>
        <w:t>will:</w:t>
      </w:r>
    </w:p>
    <w:p w14:paraId="53A57198" w14:textId="51C3DD93" w:rsidR="00041881" w:rsidRDefault="00041881" w:rsidP="00041881">
      <w:pPr>
        <w:pStyle w:val="ListBullet"/>
        <w:tabs>
          <w:tab w:val="clear" w:pos="360"/>
          <w:tab w:val="num" w:pos="0"/>
          <w:tab w:val="num" w:pos="2617"/>
        </w:tabs>
        <w:ind w:left="1080"/>
      </w:pPr>
      <w:r>
        <w:t>ensure this policy is implemented effectively across the school</w:t>
      </w:r>
    </w:p>
    <w:p w14:paraId="0D03BFBF" w14:textId="62183D59" w:rsidR="00041881" w:rsidRDefault="00041881" w:rsidP="00041881">
      <w:pPr>
        <w:pStyle w:val="ListBullet"/>
        <w:tabs>
          <w:tab w:val="clear" w:pos="360"/>
          <w:tab w:val="num" w:pos="0"/>
          <w:tab w:val="num" w:pos="2617"/>
        </w:tabs>
        <w:ind w:left="1080"/>
      </w:pPr>
      <w:r>
        <w:t>ensure a Named Senior Leader, Allergy and Anaphylaxis Operational Lead and Deputy Lead are identified</w:t>
      </w:r>
    </w:p>
    <w:p w14:paraId="60D0CE4A" w14:textId="77777777" w:rsidR="00795734" w:rsidRDefault="006F5879" w:rsidP="00041881">
      <w:pPr>
        <w:pStyle w:val="ListBullet"/>
        <w:tabs>
          <w:tab w:val="clear" w:pos="360"/>
          <w:tab w:val="num" w:pos="0"/>
          <w:tab w:val="num" w:pos="2617"/>
        </w:tabs>
        <w:ind w:left="1080"/>
      </w:pPr>
      <w:r w:rsidRPr="006F5879">
        <w:t>ensure an appropriate number of staff are trained and willing, or have this responsibility within their role, to support allergy emergency arrangements, and ensure relevant staff receive allergy awareness and emergency response training at induction and at least annually</w:t>
      </w:r>
    </w:p>
    <w:p w14:paraId="1653E7DA" w14:textId="0D61178A" w:rsidR="00041881" w:rsidRDefault="00041881" w:rsidP="00041881">
      <w:pPr>
        <w:pStyle w:val="ListBullet"/>
        <w:tabs>
          <w:tab w:val="clear" w:pos="360"/>
          <w:tab w:val="num" w:pos="0"/>
          <w:tab w:val="num" w:pos="2617"/>
        </w:tabs>
        <w:ind w:left="1080"/>
      </w:pPr>
      <w:r>
        <w:t>ensure information about pupils with allergies is shared with staff who need to know, while respecting confidentiality and data protection requirements</w:t>
      </w:r>
    </w:p>
    <w:p w14:paraId="2BF249BF" w14:textId="23C46285" w:rsidR="00041881" w:rsidRDefault="00041881" w:rsidP="00041881">
      <w:pPr>
        <w:pStyle w:val="ListBullet"/>
        <w:tabs>
          <w:tab w:val="clear" w:pos="360"/>
          <w:tab w:val="num" w:pos="0"/>
          <w:tab w:val="num" w:pos="2617"/>
        </w:tabs>
        <w:ind w:left="1080"/>
      </w:pPr>
      <w:r>
        <w:t>ensure suitable arrangements are in place for prescribed emergency medication and spare AAIs, including storage, access, checking and replacement</w:t>
      </w:r>
    </w:p>
    <w:p w14:paraId="0903FD08" w14:textId="40044469" w:rsidR="00041881" w:rsidRDefault="00041881" w:rsidP="00041881">
      <w:pPr>
        <w:pStyle w:val="ListBullet"/>
        <w:tabs>
          <w:tab w:val="clear" w:pos="360"/>
          <w:tab w:val="num" w:pos="0"/>
          <w:tab w:val="num" w:pos="2617"/>
        </w:tabs>
        <w:ind w:left="1080"/>
      </w:pPr>
      <w:r>
        <w:t xml:space="preserve">ensure allergy risks are </w:t>
      </w:r>
      <w:proofErr w:type="gramStart"/>
      <w:r>
        <w:t>considered where</w:t>
      </w:r>
      <w:proofErr w:type="gramEnd"/>
      <w:r>
        <w:t xml:space="preserve"> relevant in school trips, clubs, events, curriculum activities, catering arrangements and food brought in by others</w:t>
      </w:r>
    </w:p>
    <w:p w14:paraId="007DE8E8" w14:textId="7EC13D8B" w:rsidR="00041881" w:rsidRDefault="00041881" w:rsidP="00041881">
      <w:pPr>
        <w:pStyle w:val="ListBullet"/>
        <w:tabs>
          <w:tab w:val="clear" w:pos="360"/>
          <w:tab w:val="num" w:pos="0"/>
          <w:tab w:val="num" w:pos="2617"/>
        </w:tabs>
        <w:ind w:left="1080"/>
      </w:pPr>
      <w:r>
        <w:t>report significant concerns, serious incidents and near misses to governors/trustees as appropriate.</w:t>
      </w:r>
    </w:p>
    <w:p w14:paraId="4BC736A8" w14:textId="4720F8F8" w:rsidR="00AB66DB" w:rsidRPr="00775D4E" w:rsidRDefault="006A576E" w:rsidP="0016319B">
      <w:pPr>
        <w:pStyle w:val="Heading2"/>
        <w:ind w:left="111"/>
        <w:rPr>
          <w:color w:val="800080"/>
        </w:rPr>
      </w:pPr>
      <w:r>
        <w:rPr>
          <w:rFonts w:ascii="Arial" w:eastAsia="Arial" w:hAnsi="Arial"/>
          <w:b w:val="0"/>
          <w:color w:val="800080"/>
        </w:rPr>
        <w:t>5</w:t>
      </w:r>
      <w:r w:rsidR="00D03085" w:rsidRPr="00775D4E">
        <w:rPr>
          <w:rFonts w:ascii="Arial" w:eastAsia="Arial" w:hAnsi="Arial"/>
          <w:b w:val="0"/>
          <w:color w:val="800080"/>
        </w:rPr>
        <w:t xml:space="preserve">.3 </w:t>
      </w:r>
      <w:r w:rsidR="00695647" w:rsidRPr="00695647">
        <w:rPr>
          <w:rFonts w:ascii="Arial" w:eastAsia="Arial" w:hAnsi="Arial"/>
          <w:b w:val="0"/>
          <w:color w:val="800080"/>
        </w:rPr>
        <w:t>Named allergy and anaphylaxis leads</w:t>
      </w:r>
      <w:r w:rsidR="000F7E85">
        <w:rPr>
          <w:rFonts w:ascii="Arial" w:eastAsia="Arial" w:hAnsi="Arial"/>
          <w:b w:val="0"/>
          <w:color w:val="800080"/>
        </w:rPr>
        <w:t xml:space="preserve"> will:</w:t>
      </w:r>
    </w:p>
    <w:p w14:paraId="3E6B36C1" w14:textId="74AA805A" w:rsidR="000F7E85" w:rsidRDefault="000F7E85" w:rsidP="000F7E85">
      <w:pPr>
        <w:pStyle w:val="ListBullet"/>
        <w:tabs>
          <w:tab w:val="clear" w:pos="360"/>
          <w:tab w:val="num" w:pos="1080"/>
        </w:tabs>
        <w:ind w:left="1080"/>
      </w:pPr>
      <w:r>
        <w:t>coordinate the school allergy register</w:t>
      </w:r>
    </w:p>
    <w:p w14:paraId="3220703E" w14:textId="4C0AE419" w:rsidR="000F7E85" w:rsidRDefault="000F7E85" w:rsidP="000F7E85">
      <w:pPr>
        <w:pStyle w:val="ListBullet"/>
        <w:tabs>
          <w:tab w:val="clear" w:pos="360"/>
          <w:tab w:val="num" w:pos="1080"/>
        </w:tabs>
        <w:ind w:left="1080"/>
      </w:pPr>
      <w:r>
        <w:t>support the gathering, review and sharing of Allergy Action Plans, Individual Healthcare Plans and Individual Allergy Risk Assessments where required</w:t>
      </w:r>
    </w:p>
    <w:p w14:paraId="217EC41B" w14:textId="58DD6008" w:rsidR="000F7E85" w:rsidRDefault="000F7E85" w:rsidP="000F7E85">
      <w:pPr>
        <w:pStyle w:val="ListBullet"/>
        <w:tabs>
          <w:tab w:val="clear" w:pos="360"/>
          <w:tab w:val="num" w:pos="1080"/>
        </w:tabs>
        <w:ind w:left="1080"/>
      </w:pPr>
      <w:r>
        <w:t>coordinate medication checks and reminders to parents/carers when prescribed allergy medication is approaching expiry</w:t>
      </w:r>
    </w:p>
    <w:p w14:paraId="17360186" w14:textId="3FBA01A7" w:rsidR="000F7E85" w:rsidRDefault="000F7E85" w:rsidP="000F7E85">
      <w:pPr>
        <w:pStyle w:val="ListBullet"/>
        <w:tabs>
          <w:tab w:val="clear" w:pos="360"/>
          <w:tab w:val="num" w:pos="1080"/>
        </w:tabs>
        <w:ind w:left="1080"/>
      </w:pPr>
      <w:r>
        <w:t>check spare AAIs monthly, where held, and support replacement arrangements</w:t>
      </w:r>
    </w:p>
    <w:p w14:paraId="0DE5309F" w14:textId="5DDE28FA" w:rsidR="000F7E85" w:rsidRDefault="000F7E85" w:rsidP="000F7E85">
      <w:pPr>
        <w:pStyle w:val="ListBullet"/>
        <w:tabs>
          <w:tab w:val="clear" w:pos="360"/>
          <w:tab w:val="num" w:pos="1080"/>
        </w:tabs>
        <w:ind w:left="1080"/>
      </w:pPr>
      <w:r>
        <w:t>maintain allergy awareness training records and refresher training records</w:t>
      </w:r>
    </w:p>
    <w:p w14:paraId="2C870D6B" w14:textId="2ED6D956" w:rsidR="000F7E85" w:rsidRDefault="000F7E85" w:rsidP="000F7E85">
      <w:pPr>
        <w:pStyle w:val="ListBullet"/>
        <w:tabs>
          <w:tab w:val="clear" w:pos="360"/>
          <w:tab w:val="num" w:pos="1080"/>
        </w:tabs>
        <w:ind w:left="1080"/>
      </w:pPr>
      <w:r>
        <w:t>liaise with parents/carers, school nurses, healthcare professionals and catering providers where needed</w:t>
      </w:r>
    </w:p>
    <w:p w14:paraId="541A8A8D" w14:textId="035C7BE8" w:rsidR="000F7E85" w:rsidRDefault="000F7E85" w:rsidP="000F7E85">
      <w:pPr>
        <w:pStyle w:val="ListBullet"/>
        <w:tabs>
          <w:tab w:val="clear" w:pos="360"/>
          <w:tab w:val="num" w:pos="1080"/>
        </w:tabs>
        <w:ind w:left="1080"/>
      </w:pPr>
      <w:r>
        <w:t>support individual allergy risk assessments and ensure agreed controls are communicated to relevant staff</w:t>
      </w:r>
    </w:p>
    <w:p w14:paraId="0639FB86" w14:textId="69043C53" w:rsidR="000F7E85" w:rsidRDefault="000F7E85" w:rsidP="000F7E85">
      <w:pPr>
        <w:pStyle w:val="ListBullet"/>
        <w:tabs>
          <w:tab w:val="clear" w:pos="360"/>
          <w:tab w:val="num" w:pos="1080"/>
        </w:tabs>
        <w:ind w:left="1080"/>
      </w:pPr>
      <w:r>
        <w:t>support the recording and review of allergic reactions, suspected anaphylaxis, AAI use, catering errors, near misses and lessons learned.</w:t>
      </w:r>
    </w:p>
    <w:p w14:paraId="627EE846" w14:textId="6F9B0D72" w:rsidR="00AB66DB" w:rsidRPr="00775D4E" w:rsidRDefault="006A576E" w:rsidP="0016319B">
      <w:pPr>
        <w:pStyle w:val="Heading2"/>
        <w:ind w:left="111"/>
        <w:rPr>
          <w:color w:val="800080"/>
        </w:rPr>
      </w:pPr>
      <w:r>
        <w:rPr>
          <w:rFonts w:ascii="Arial" w:eastAsia="Arial" w:hAnsi="Arial"/>
          <w:b w:val="0"/>
          <w:color w:val="800080"/>
        </w:rPr>
        <w:t>5</w:t>
      </w:r>
      <w:r w:rsidR="00D03085" w:rsidRPr="00775D4E">
        <w:rPr>
          <w:rFonts w:ascii="Arial" w:eastAsia="Arial" w:hAnsi="Arial"/>
          <w:b w:val="0"/>
          <w:color w:val="800080"/>
        </w:rPr>
        <w:t>.4 All staff</w:t>
      </w:r>
      <w:r w:rsidR="00AC3866">
        <w:rPr>
          <w:rFonts w:ascii="Arial" w:eastAsia="Arial" w:hAnsi="Arial"/>
          <w:b w:val="0"/>
          <w:color w:val="800080"/>
        </w:rPr>
        <w:t xml:space="preserve"> will:</w:t>
      </w:r>
    </w:p>
    <w:p w14:paraId="0A6B4D8D" w14:textId="50204344" w:rsidR="00763D93" w:rsidRDefault="00763D93" w:rsidP="00763D93">
      <w:pPr>
        <w:pStyle w:val="ListBullet"/>
        <w:tabs>
          <w:tab w:val="clear" w:pos="360"/>
          <w:tab w:val="num" w:pos="0"/>
          <w:tab w:val="num" w:pos="2617"/>
        </w:tabs>
        <w:ind w:left="1080"/>
      </w:pPr>
      <w:r>
        <w:t>complete allergy awareness and emergency response training relevant to their role</w:t>
      </w:r>
    </w:p>
    <w:p w14:paraId="518ADE8E" w14:textId="00C158B4" w:rsidR="00763D93" w:rsidRDefault="00763D93" w:rsidP="00763D93">
      <w:pPr>
        <w:pStyle w:val="ListBullet"/>
        <w:tabs>
          <w:tab w:val="clear" w:pos="360"/>
          <w:tab w:val="num" w:pos="0"/>
          <w:tab w:val="num" w:pos="2617"/>
        </w:tabs>
        <w:ind w:left="1080"/>
      </w:pPr>
      <w:r>
        <w:t>know which pupils in their care have allergies and where to access relevant plans and medication</w:t>
      </w:r>
    </w:p>
    <w:p w14:paraId="5788E09A" w14:textId="1474B26E" w:rsidR="00763D93" w:rsidRDefault="00763D93" w:rsidP="00763D93">
      <w:pPr>
        <w:pStyle w:val="ListBullet"/>
        <w:tabs>
          <w:tab w:val="clear" w:pos="360"/>
          <w:tab w:val="num" w:pos="0"/>
          <w:tab w:val="num" w:pos="2617"/>
        </w:tabs>
        <w:ind w:left="1080"/>
      </w:pPr>
      <w:r>
        <w:t>consider allergy risks when planning or supervising food-related, curriculum, craft, science, cooking, outdoor, visit or club activities</w:t>
      </w:r>
    </w:p>
    <w:p w14:paraId="391D46D1" w14:textId="5BEDF2E9" w:rsidR="00763D93" w:rsidRDefault="00763D93" w:rsidP="00763D93">
      <w:pPr>
        <w:pStyle w:val="ListBullet"/>
        <w:tabs>
          <w:tab w:val="clear" w:pos="360"/>
          <w:tab w:val="num" w:pos="0"/>
          <w:tab w:val="num" w:pos="2617"/>
        </w:tabs>
        <w:ind w:left="1080"/>
      </w:pPr>
      <w:r>
        <w:t>act promptly if a pupil reports symptoms or if an allergic reaction or anaphylaxis is suspected</w:t>
      </w:r>
    </w:p>
    <w:p w14:paraId="333295B8" w14:textId="528CCEE4" w:rsidR="00763D93" w:rsidRDefault="00763D93" w:rsidP="00763D93">
      <w:pPr>
        <w:pStyle w:val="ListBullet"/>
        <w:tabs>
          <w:tab w:val="clear" w:pos="360"/>
          <w:tab w:val="num" w:pos="0"/>
          <w:tab w:val="num" w:pos="2617"/>
        </w:tabs>
        <w:ind w:left="1080"/>
      </w:pPr>
      <w:r>
        <w:t>know how to call for help, call 999, locate emergency medication and follow the pupil’s Allergy Action Plan or emergency procedures</w:t>
      </w:r>
    </w:p>
    <w:p w14:paraId="36A68CDC" w14:textId="7EE9D4BF" w:rsidR="00763D93" w:rsidRDefault="00763D93" w:rsidP="00763D93">
      <w:pPr>
        <w:pStyle w:val="ListBullet"/>
        <w:tabs>
          <w:tab w:val="clear" w:pos="360"/>
          <w:tab w:val="num" w:pos="0"/>
          <w:tab w:val="num" w:pos="2617"/>
        </w:tabs>
        <w:ind w:left="1080"/>
      </w:pPr>
      <w:r>
        <w:t>promote an inclusive environment and challenge allergy-related bullying, teasing, unsafe behaviour or deliberate exposure to allergens</w:t>
      </w:r>
    </w:p>
    <w:p w14:paraId="0306424A" w14:textId="47027F32" w:rsidR="00763D93" w:rsidRDefault="00763D93" w:rsidP="00763D93">
      <w:pPr>
        <w:pStyle w:val="ListBullet"/>
        <w:tabs>
          <w:tab w:val="clear" w:pos="360"/>
          <w:tab w:val="num" w:pos="0"/>
          <w:tab w:val="num" w:pos="2617"/>
        </w:tabs>
        <w:ind w:left="1080"/>
      </w:pPr>
      <w:r>
        <w:t>report concerns, allergic reactions, suspected anaphylaxis, incidents or near misses to the named allergy and anaphylaxis lead</w:t>
      </w:r>
      <w:r w:rsidR="00434619">
        <w:t>.</w:t>
      </w:r>
    </w:p>
    <w:p w14:paraId="4D9EC50A" w14:textId="77777777" w:rsidR="00434619" w:rsidRDefault="00434619" w:rsidP="00434619">
      <w:pPr>
        <w:pStyle w:val="ListBullet"/>
        <w:numPr>
          <w:ilvl w:val="0"/>
          <w:numId w:val="0"/>
        </w:numPr>
        <w:tabs>
          <w:tab w:val="num" w:pos="0"/>
          <w:tab w:val="num" w:pos="2617"/>
        </w:tabs>
        <w:ind w:left="720"/>
      </w:pPr>
    </w:p>
    <w:p w14:paraId="5D6ABE39" w14:textId="3420BB94" w:rsidR="001F6696" w:rsidRDefault="00434619" w:rsidP="00434619">
      <w:pPr>
        <w:pStyle w:val="ListBullet"/>
        <w:numPr>
          <w:ilvl w:val="0"/>
          <w:numId w:val="0"/>
        </w:numPr>
        <w:tabs>
          <w:tab w:val="num" w:pos="0"/>
          <w:tab w:val="num" w:pos="2617"/>
        </w:tabs>
        <w:ind w:left="720"/>
      </w:pPr>
      <w:r>
        <w:t>P</w:t>
      </w:r>
      <w:r w:rsidR="001F6696" w:rsidRPr="001F6696">
        <w:t xml:space="preserve">articipation in the administration of allergy medication, including adrenaline auto-injectors, is voluntary unless it forms part of the staff member’s contract, role or job description. Individual decisions on involvement will be respected. Punitive action will not be taken against staff who choose not to consent </w:t>
      </w:r>
      <w:proofErr w:type="gramStart"/>
      <w:r w:rsidR="001F6696" w:rsidRPr="001F6696">
        <w:t>where</w:t>
      </w:r>
      <w:proofErr w:type="gramEnd"/>
      <w:r w:rsidR="001F6696" w:rsidRPr="001F6696">
        <w:t xml:space="preserve"> administration of medicines is not part of their agreed role.</w:t>
      </w:r>
    </w:p>
    <w:p w14:paraId="1A9968D5" w14:textId="016423B0" w:rsidR="00AB66DB" w:rsidRPr="00775D4E" w:rsidRDefault="006A576E" w:rsidP="0016319B">
      <w:pPr>
        <w:pStyle w:val="Heading2"/>
        <w:ind w:left="111"/>
        <w:rPr>
          <w:color w:val="800080"/>
        </w:rPr>
      </w:pPr>
      <w:r>
        <w:rPr>
          <w:rFonts w:ascii="Arial" w:eastAsia="Arial" w:hAnsi="Arial"/>
          <w:b w:val="0"/>
          <w:color w:val="800080"/>
        </w:rPr>
        <w:t>5</w:t>
      </w:r>
      <w:r w:rsidR="00D03085" w:rsidRPr="00775D4E">
        <w:rPr>
          <w:rFonts w:ascii="Arial" w:eastAsia="Arial" w:hAnsi="Arial"/>
          <w:b w:val="0"/>
          <w:color w:val="800080"/>
        </w:rPr>
        <w:t>.5 Catering provider or catering staff</w:t>
      </w:r>
      <w:r w:rsidR="00057F18">
        <w:rPr>
          <w:rFonts w:ascii="Arial" w:eastAsia="Arial" w:hAnsi="Arial"/>
          <w:b w:val="0"/>
          <w:color w:val="800080"/>
        </w:rPr>
        <w:t xml:space="preserve"> will:</w:t>
      </w:r>
    </w:p>
    <w:p w14:paraId="0B85A87B" w14:textId="5CBEC9C7" w:rsidR="00763D93" w:rsidRDefault="00763D93" w:rsidP="00763D93">
      <w:pPr>
        <w:pStyle w:val="ListBullet"/>
        <w:tabs>
          <w:tab w:val="clear" w:pos="360"/>
          <w:tab w:val="num" w:pos="0"/>
          <w:tab w:val="num" w:pos="2617"/>
        </w:tabs>
        <w:ind w:left="1080"/>
      </w:pPr>
      <w:r>
        <w:t>comply with food allergen information requirements and school procedures</w:t>
      </w:r>
    </w:p>
    <w:p w14:paraId="219D3314" w14:textId="1E4FCBF5" w:rsidR="00763D93" w:rsidRDefault="00763D93" w:rsidP="00763D93">
      <w:pPr>
        <w:pStyle w:val="ListBullet"/>
        <w:tabs>
          <w:tab w:val="clear" w:pos="360"/>
          <w:tab w:val="num" w:pos="0"/>
          <w:tab w:val="num" w:pos="2617"/>
        </w:tabs>
        <w:ind w:left="1080"/>
      </w:pPr>
      <w:r>
        <w:t>maintain accurate allergen information for food provided by the school or catering provider</w:t>
      </w:r>
    </w:p>
    <w:p w14:paraId="26BD492E" w14:textId="765048B9" w:rsidR="00763D93" w:rsidRDefault="00763D93" w:rsidP="00763D93">
      <w:pPr>
        <w:pStyle w:val="ListBullet"/>
        <w:tabs>
          <w:tab w:val="clear" w:pos="360"/>
          <w:tab w:val="num" w:pos="0"/>
          <w:tab w:val="num" w:pos="2617"/>
        </w:tabs>
        <w:ind w:left="1080"/>
      </w:pPr>
      <w:r>
        <w:t>take reasonable steps to reduce the risk of allergen cross-contact or cross-contamination</w:t>
      </w:r>
    </w:p>
    <w:p w14:paraId="46AD250E" w14:textId="0102CF6E" w:rsidR="00763D93" w:rsidRDefault="00763D93" w:rsidP="00763D93">
      <w:pPr>
        <w:pStyle w:val="ListBullet"/>
        <w:tabs>
          <w:tab w:val="clear" w:pos="360"/>
          <w:tab w:val="num" w:pos="0"/>
          <w:tab w:val="num" w:pos="2617"/>
        </w:tabs>
        <w:ind w:left="1080"/>
      </w:pPr>
      <w:r>
        <w:t>know how pupils with food allergies are identified within the catering system</w:t>
      </w:r>
    </w:p>
    <w:p w14:paraId="7B735E87" w14:textId="63DC69ED" w:rsidR="00763D93" w:rsidRDefault="00763D93" w:rsidP="00763D93">
      <w:pPr>
        <w:pStyle w:val="ListBullet"/>
        <w:tabs>
          <w:tab w:val="clear" w:pos="360"/>
          <w:tab w:val="num" w:pos="0"/>
          <w:tab w:val="num" w:pos="2617"/>
        </w:tabs>
        <w:ind w:left="1080"/>
      </w:pPr>
      <w:r>
        <w:t>work with the school and parents/carers to support special diets and safe meal provision</w:t>
      </w:r>
    </w:p>
    <w:p w14:paraId="13FE5616" w14:textId="19D8A76E" w:rsidR="00763D93" w:rsidRDefault="00763D93" w:rsidP="00763D93">
      <w:pPr>
        <w:pStyle w:val="ListBullet"/>
        <w:tabs>
          <w:tab w:val="clear" w:pos="360"/>
          <w:tab w:val="num" w:pos="0"/>
          <w:tab w:val="num" w:pos="2617"/>
        </w:tabs>
        <w:ind w:left="1080"/>
      </w:pPr>
      <w:r>
        <w:t>check ingredients, product changes and substitutions before food is prepared or served</w:t>
      </w:r>
    </w:p>
    <w:p w14:paraId="19F16348" w14:textId="279BEF58" w:rsidR="00763D93" w:rsidRDefault="00763D93" w:rsidP="00763D93">
      <w:pPr>
        <w:pStyle w:val="ListBullet"/>
        <w:tabs>
          <w:tab w:val="clear" w:pos="360"/>
          <w:tab w:val="num" w:pos="0"/>
          <w:tab w:val="num" w:pos="2617"/>
        </w:tabs>
        <w:ind w:left="1080"/>
      </w:pPr>
      <w:r>
        <w:t>report allergen concerns, errors, near misses or changes in ingredients to the school promptly.</w:t>
      </w:r>
    </w:p>
    <w:p w14:paraId="2AEF55B1" w14:textId="508AC9BF" w:rsidR="00AB66DB" w:rsidRPr="00775D4E" w:rsidRDefault="006A576E" w:rsidP="0016319B">
      <w:pPr>
        <w:pStyle w:val="Heading2"/>
        <w:ind w:left="111"/>
        <w:rPr>
          <w:color w:val="800080"/>
        </w:rPr>
      </w:pPr>
      <w:r>
        <w:rPr>
          <w:rFonts w:ascii="Arial" w:eastAsia="Arial" w:hAnsi="Arial"/>
          <w:b w:val="0"/>
          <w:color w:val="800080"/>
        </w:rPr>
        <w:t>5</w:t>
      </w:r>
      <w:r w:rsidR="00D03085" w:rsidRPr="00775D4E">
        <w:rPr>
          <w:rFonts w:ascii="Arial" w:eastAsia="Arial" w:hAnsi="Arial"/>
          <w:b w:val="0"/>
          <w:color w:val="800080"/>
        </w:rPr>
        <w:t>.6 Parents and carers</w:t>
      </w:r>
      <w:r w:rsidR="00057F18">
        <w:rPr>
          <w:rFonts w:ascii="Arial" w:eastAsia="Arial" w:hAnsi="Arial"/>
          <w:b w:val="0"/>
          <w:color w:val="800080"/>
        </w:rPr>
        <w:t xml:space="preserve"> are responsible for:</w:t>
      </w:r>
    </w:p>
    <w:p w14:paraId="76A463E2" w14:textId="71095741" w:rsidR="00E40675" w:rsidRDefault="00E40675" w:rsidP="00777461">
      <w:pPr>
        <w:pStyle w:val="ListBullet"/>
        <w:numPr>
          <w:ilvl w:val="0"/>
          <w:numId w:val="11"/>
        </w:numPr>
      </w:pPr>
      <w:r>
        <w:t>informing the school of their child’s allergy, previous reactions, medication and any changes in condition or treatment</w:t>
      </w:r>
    </w:p>
    <w:p w14:paraId="758509CF" w14:textId="77777777" w:rsidR="00734070" w:rsidRDefault="00734070" w:rsidP="00777461">
      <w:pPr>
        <w:pStyle w:val="ListBullet"/>
        <w:numPr>
          <w:ilvl w:val="0"/>
          <w:numId w:val="11"/>
        </w:numPr>
      </w:pPr>
      <w:r w:rsidRPr="00734070">
        <w:t>providing an up-to-date Allergy Action Plan completed by, or based on advice from, a healthcare professional where the pupil has been diagnosed with an allergy or prescribed allergy medication</w:t>
      </w:r>
    </w:p>
    <w:p w14:paraId="5221D8BC" w14:textId="2A6165A4" w:rsidR="00E40675" w:rsidRDefault="00E40675" w:rsidP="00777461">
      <w:pPr>
        <w:pStyle w:val="ListBullet"/>
        <w:numPr>
          <w:ilvl w:val="0"/>
          <w:numId w:val="11"/>
        </w:numPr>
      </w:pPr>
      <w:r>
        <w:t>providing in-date medication, including two AAIs where prescribed, in the correct dosage and original packaging</w:t>
      </w:r>
    </w:p>
    <w:p w14:paraId="7784943D" w14:textId="08271A63" w:rsidR="00E40675" w:rsidRDefault="00E40675" w:rsidP="00777461">
      <w:pPr>
        <w:pStyle w:val="ListBullet"/>
        <w:numPr>
          <w:ilvl w:val="0"/>
          <w:numId w:val="11"/>
        </w:numPr>
      </w:pPr>
      <w:r>
        <w:t>replacing medication before expiry or following use</w:t>
      </w:r>
    </w:p>
    <w:p w14:paraId="702603A9" w14:textId="77777777" w:rsidR="00E8283D" w:rsidRDefault="00E40675" w:rsidP="00777461">
      <w:pPr>
        <w:pStyle w:val="ListBullet"/>
        <w:numPr>
          <w:ilvl w:val="0"/>
          <w:numId w:val="11"/>
        </w:numPr>
      </w:pPr>
      <w:r>
        <w:t>ensuring the school has current emergency contact details</w:t>
      </w:r>
    </w:p>
    <w:p w14:paraId="39E8D12F" w14:textId="77777777" w:rsidR="00E8283D" w:rsidRDefault="00E8283D" w:rsidP="00777461">
      <w:pPr>
        <w:pStyle w:val="ListBullet"/>
        <w:numPr>
          <w:ilvl w:val="0"/>
          <w:numId w:val="11"/>
        </w:numPr>
      </w:pPr>
      <w:r w:rsidRPr="00E8283D">
        <w:t>completing the school’s parental agreement for administration of medicine form where prescribed allergy medication, antihistamine, adrenaline auto-injectors or other allergy medication is to be held or administered in school</w:t>
      </w:r>
    </w:p>
    <w:p w14:paraId="5C3C732C" w14:textId="630E6295" w:rsidR="00E40675" w:rsidRDefault="00E40675" w:rsidP="00777461">
      <w:pPr>
        <w:pStyle w:val="ListBullet"/>
        <w:numPr>
          <w:ilvl w:val="0"/>
          <w:numId w:val="11"/>
        </w:numPr>
      </w:pPr>
      <w:r>
        <w:t>supporting their child, where age appropriate, to understand their allergy, avoid allergens and seek help quickly</w:t>
      </w:r>
    </w:p>
    <w:p w14:paraId="014F4EB1" w14:textId="5A5A67F0" w:rsidR="00E40675" w:rsidRDefault="00E40675" w:rsidP="00777461">
      <w:pPr>
        <w:pStyle w:val="ListBullet"/>
        <w:numPr>
          <w:ilvl w:val="0"/>
          <w:numId w:val="11"/>
        </w:numPr>
      </w:pPr>
      <w:r>
        <w:t>engaging with the school and catering provider where special diet arrangements or reasonable adjustments are needed.</w:t>
      </w:r>
    </w:p>
    <w:p w14:paraId="47838BFF" w14:textId="7B4249CA" w:rsidR="00AB66DB" w:rsidRPr="00775D4E" w:rsidRDefault="006A576E" w:rsidP="0016319B">
      <w:pPr>
        <w:pStyle w:val="Heading2"/>
        <w:ind w:left="111"/>
        <w:rPr>
          <w:color w:val="800080"/>
        </w:rPr>
      </w:pPr>
      <w:r>
        <w:rPr>
          <w:rFonts w:ascii="Arial" w:eastAsia="Arial" w:hAnsi="Arial"/>
          <w:b w:val="0"/>
          <w:color w:val="800080"/>
        </w:rPr>
        <w:t>5</w:t>
      </w:r>
      <w:r w:rsidR="00D03085" w:rsidRPr="00775D4E">
        <w:rPr>
          <w:rFonts w:ascii="Arial" w:eastAsia="Arial" w:hAnsi="Arial"/>
          <w:b w:val="0"/>
          <w:color w:val="800080"/>
        </w:rPr>
        <w:t xml:space="preserve">.7 </w:t>
      </w:r>
      <w:r w:rsidR="00AC3866" w:rsidRPr="00AC3866">
        <w:rPr>
          <w:rFonts w:ascii="Arial" w:eastAsia="Arial" w:hAnsi="Arial"/>
          <w:b w:val="0"/>
          <w:color w:val="800080"/>
        </w:rPr>
        <w:t xml:space="preserve">Pupils will be supported, according to their age, maturity and understanding, </w:t>
      </w:r>
      <w:proofErr w:type="gramStart"/>
      <w:r w:rsidR="00AC3866" w:rsidRPr="00AC3866">
        <w:rPr>
          <w:rFonts w:ascii="Arial" w:eastAsia="Arial" w:hAnsi="Arial"/>
          <w:b w:val="0"/>
          <w:color w:val="800080"/>
        </w:rPr>
        <w:t>to</w:t>
      </w:r>
      <w:proofErr w:type="gramEnd"/>
      <w:r w:rsidR="00AC3866" w:rsidRPr="00AC3866">
        <w:rPr>
          <w:rFonts w:ascii="Arial" w:eastAsia="Arial" w:hAnsi="Arial"/>
          <w:b w:val="0"/>
          <w:color w:val="800080"/>
        </w:rPr>
        <w:t>:</w:t>
      </w:r>
    </w:p>
    <w:p w14:paraId="148F5F8E" w14:textId="39A119A1" w:rsidR="00AC3866" w:rsidRDefault="00AC3866" w:rsidP="00777461">
      <w:pPr>
        <w:pStyle w:val="ListBullet"/>
        <w:numPr>
          <w:ilvl w:val="0"/>
          <w:numId w:val="12"/>
        </w:numPr>
      </w:pPr>
      <w:r>
        <w:t>tell an adult immediately if they feel unwell or think they may be having an allergic reaction</w:t>
      </w:r>
    </w:p>
    <w:p w14:paraId="5B5177B1" w14:textId="7460FBB1" w:rsidR="00AC3866" w:rsidRDefault="00AC3866" w:rsidP="00777461">
      <w:pPr>
        <w:pStyle w:val="ListBullet"/>
        <w:numPr>
          <w:ilvl w:val="0"/>
          <w:numId w:val="12"/>
        </w:numPr>
      </w:pPr>
      <w:r>
        <w:t>avoid sharing or swapping food and avoid foods with unknown ingredients</w:t>
      </w:r>
    </w:p>
    <w:p w14:paraId="5F69A87A" w14:textId="47A4BD12" w:rsidR="00AC3866" w:rsidRDefault="00AC3866" w:rsidP="00777461">
      <w:pPr>
        <w:pStyle w:val="ListBullet"/>
        <w:numPr>
          <w:ilvl w:val="0"/>
          <w:numId w:val="12"/>
        </w:numPr>
      </w:pPr>
      <w:r>
        <w:t>carry their medication where this has been agreed</w:t>
      </w:r>
    </w:p>
    <w:p w14:paraId="73712EBA" w14:textId="15F63A7A" w:rsidR="00AC3866" w:rsidRDefault="00AC3866" w:rsidP="00777461">
      <w:pPr>
        <w:pStyle w:val="ListBullet"/>
        <w:numPr>
          <w:ilvl w:val="0"/>
          <w:numId w:val="12"/>
        </w:numPr>
      </w:pPr>
      <w:r>
        <w:t>use only their own medication and never share medication with another pupil</w:t>
      </w:r>
    </w:p>
    <w:p w14:paraId="581A90AD" w14:textId="222E131E" w:rsidR="00AC3866" w:rsidRDefault="00AC3866" w:rsidP="00777461">
      <w:pPr>
        <w:pStyle w:val="ListBullet"/>
        <w:numPr>
          <w:ilvl w:val="0"/>
          <w:numId w:val="12"/>
        </w:numPr>
      </w:pPr>
      <w:r>
        <w:t>act safely and respectfully towards pupils with allergies</w:t>
      </w:r>
    </w:p>
    <w:p w14:paraId="7E711884" w14:textId="5CA03399" w:rsidR="00AC3866" w:rsidRDefault="00AC3866" w:rsidP="00777461">
      <w:pPr>
        <w:pStyle w:val="ListBullet"/>
        <w:numPr>
          <w:ilvl w:val="0"/>
          <w:numId w:val="12"/>
        </w:numPr>
      </w:pPr>
      <w:r>
        <w:t>take increasing responsibility for allergy self-management where appropriate.</w:t>
      </w:r>
    </w:p>
    <w:p w14:paraId="1793E938" w14:textId="52FD9C63" w:rsidR="00AB66DB" w:rsidRPr="00775D4E" w:rsidRDefault="006A576E" w:rsidP="00FC072F">
      <w:pPr>
        <w:pStyle w:val="Heading1"/>
        <w:spacing w:line="360" w:lineRule="auto"/>
        <w:rPr>
          <w:bCs w:val="0"/>
          <w:color w:val="800080"/>
        </w:rPr>
      </w:pPr>
      <w:r>
        <w:rPr>
          <w:rFonts w:ascii="Arial" w:eastAsia="Arial" w:hAnsi="Arial"/>
          <w:bCs w:val="0"/>
          <w:color w:val="800080"/>
        </w:rPr>
        <w:t>6</w:t>
      </w:r>
      <w:r w:rsidR="00D03085" w:rsidRPr="00775D4E">
        <w:rPr>
          <w:rFonts w:ascii="Arial" w:eastAsia="Arial" w:hAnsi="Arial"/>
          <w:bCs w:val="0"/>
          <w:color w:val="800080"/>
        </w:rPr>
        <w:t>. Identification of pupils with allergies</w:t>
      </w:r>
    </w:p>
    <w:p w14:paraId="2B727AA5" w14:textId="77777777" w:rsidR="00911A03" w:rsidRDefault="00911A03" w:rsidP="00911A03">
      <w:pPr>
        <w:spacing w:after="0"/>
      </w:pPr>
      <w:r>
        <w:t xml:space="preserve">The school will ask parents/carers to provide </w:t>
      </w:r>
      <w:proofErr w:type="gramStart"/>
      <w:r>
        <w:t>allergy</w:t>
      </w:r>
      <w:proofErr w:type="gramEnd"/>
      <w:r>
        <w:t xml:space="preserve"> and medical information as part of admission, transition and whenever there is a change in a pupil’s health. Information may also be gathered from the </w:t>
      </w:r>
      <w:proofErr w:type="gramStart"/>
      <w:r>
        <w:t>pupil</w:t>
      </w:r>
      <w:proofErr w:type="gramEnd"/>
      <w:r>
        <w:t xml:space="preserve"> where appropriate, previous settings and relevant healthcare professionals where available.</w:t>
      </w:r>
    </w:p>
    <w:p w14:paraId="61D7E388" w14:textId="77777777" w:rsidR="00911A03" w:rsidRDefault="00911A03" w:rsidP="00911A03">
      <w:pPr>
        <w:spacing w:after="0"/>
      </w:pPr>
    </w:p>
    <w:p w14:paraId="3240BF36" w14:textId="77777777" w:rsidR="00911A03" w:rsidRDefault="00911A03" w:rsidP="00911A03">
      <w:pPr>
        <w:spacing w:after="0"/>
      </w:pPr>
      <w:r>
        <w:t xml:space="preserve">Parents/carers are responsible for informing the school promptly if their child is diagnosed with an allergy, prescribed allergy medication, has a change in medication, has an updated Allergy Action Plan, or is advised to avoid </w:t>
      </w:r>
      <w:proofErr w:type="gramStart"/>
      <w:r>
        <w:t>particular allergens</w:t>
      </w:r>
      <w:proofErr w:type="gramEnd"/>
      <w:r>
        <w:t>.</w:t>
      </w:r>
    </w:p>
    <w:p w14:paraId="78F4362F" w14:textId="77777777" w:rsidR="00911A03" w:rsidRDefault="00911A03" w:rsidP="00911A03">
      <w:pPr>
        <w:spacing w:after="0"/>
      </w:pPr>
    </w:p>
    <w:p w14:paraId="4BCF926C" w14:textId="77777777" w:rsidR="00911A03" w:rsidRDefault="00911A03" w:rsidP="00911A03">
      <w:pPr>
        <w:spacing w:after="0"/>
      </w:pPr>
      <w:r>
        <w:t>The school will maintain an allergy register for pupils with known allergies. The register will include relevant information about known allergens, medication, whether an Allergy Action Plan or Individual Healthcare Plan is in place, and any key emergency arrangements.</w:t>
      </w:r>
    </w:p>
    <w:p w14:paraId="7531220E" w14:textId="77777777" w:rsidR="00911A03" w:rsidRDefault="00911A03" w:rsidP="00911A03">
      <w:pPr>
        <w:spacing w:after="0"/>
      </w:pPr>
    </w:p>
    <w:p w14:paraId="78F477B5" w14:textId="77777777" w:rsidR="00911A03" w:rsidRDefault="00911A03" w:rsidP="00911A03">
      <w:pPr>
        <w:spacing w:after="0"/>
      </w:pPr>
      <w:r>
        <w:t>Relevant allergy information will be shared with staff who need it to keep pupils safe. The school will ensure staff know where to access current information, how updates are communicated, and where emergency medication is stored.</w:t>
      </w:r>
    </w:p>
    <w:p w14:paraId="55A14813" w14:textId="77777777" w:rsidR="00911A03" w:rsidRDefault="00911A03" w:rsidP="00911A03">
      <w:pPr>
        <w:spacing w:after="0"/>
      </w:pPr>
    </w:p>
    <w:p w14:paraId="4CA7F399" w14:textId="2756DB58" w:rsidR="00911A03" w:rsidRDefault="00911A03" w:rsidP="00911A03">
      <w:pPr>
        <w:spacing w:after="0"/>
      </w:pPr>
      <w:r>
        <w:t>Where allergy arrangements are relevant to staff or visitors, the school will take reasonable and proportionate steps to manage known allergy risks, particularly where food is provided or exposure to known allergens may be reasonably foreseeable.</w:t>
      </w:r>
    </w:p>
    <w:p w14:paraId="0E180621" w14:textId="5F06D01D" w:rsidR="00AB66DB" w:rsidRPr="00775D4E" w:rsidRDefault="006A576E" w:rsidP="00FC072F">
      <w:pPr>
        <w:pStyle w:val="Heading1"/>
        <w:spacing w:line="360" w:lineRule="auto"/>
        <w:rPr>
          <w:bCs w:val="0"/>
          <w:color w:val="800080"/>
        </w:rPr>
      </w:pPr>
      <w:r>
        <w:rPr>
          <w:rFonts w:ascii="Arial" w:eastAsia="Arial" w:hAnsi="Arial"/>
          <w:bCs w:val="0"/>
          <w:color w:val="800080"/>
        </w:rPr>
        <w:t>7</w:t>
      </w:r>
      <w:r w:rsidR="00D03085" w:rsidRPr="00775D4E">
        <w:rPr>
          <w:rFonts w:ascii="Arial" w:eastAsia="Arial" w:hAnsi="Arial"/>
          <w:bCs w:val="0"/>
          <w:color w:val="800080"/>
        </w:rPr>
        <w:t>. Allergy Action Plans and Individual Healthcare Plans</w:t>
      </w:r>
    </w:p>
    <w:p w14:paraId="582FCE28" w14:textId="77777777" w:rsidR="00F46C64" w:rsidRDefault="00F46C64" w:rsidP="00F54B18">
      <w:r w:rsidRPr="00F46C64">
        <w:t xml:space="preserve">Where a healthcare professional has issued an Allergy Action Plan, the school will use this to support the pupil’s allergy arrangements. The plan should set out the pupil’s known allergens, symptoms, medication and emergency actions. </w:t>
      </w:r>
    </w:p>
    <w:p w14:paraId="3696C0E8" w14:textId="35F6CD54" w:rsidR="00F54B18" w:rsidRDefault="00F54B18" w:rsidP="00F54B18">
      <w:r>
        <w:t>The school will not rewrite clinical instructions from an Allergy Action Plan. Where an Allergy Action Plan has been provided, it will be attached to, or clearly referenced within, the pupil’s Individual Healthcare Plan where required.</w:t>
      </w:r>
    </w:p>
    <w:p w14:paraId="73E628D4" w14:textId="77777777" w:rsidR="00F54B18" w:rsidRDefault="00F54B18" w:rsidP="00F54B18">
      <w:r>
        <w:t xml:space="preserve">An Individual Healthcare Plan will be used where a pupil’s allergy has a functional impact in school, the pupil is at risk of harm </w:t>
      </w:r>
      <w:proofErr w:type="gramStart"/>
      <w:r>
        <w:t>as a result of</w:t>
      </w:r>
      <w:proofErr w:type="gramEnd"/>
      <w:r>
        <w:t xml:space="preserve"> the allergy, and the pupil requires arrangements that are additional to, or different from, those made generally. This may include arrangements for medication, emergency response, reasonable adjustments, specific allergy controls, visits, clubs or school activities.</w:t>
      </w:r>
    </w:p>
    <w:p w14:paraId="621677A0" w14:textId="77777777" w:rsidR="00F54B18" w:rsidRDefault="00F54B18" w:rsidP="00F54B18">
      <w:r>
        <w:t xml:space="preserve">The Individual Healthcare Plan will describe the arrangements the school will put in place to support the </w:t>
      </w:r>
      <w:proofErr w:type="gramStart"/>
      <w:r>
        <w:t>pupil</w:t>
      </w:r>
      <w:proofErr w:type="gramEnd"/>
      <w:r>
        <w:t>. It is not a clinical document and does not replace clinical advice, Allergy Action Plans, Asthma Action Plans or care plans issued by healthcare professionals.</w:t>
      </w:r>
    </w:p>
    <w:p w14:paraId="65533602" w14:textId="77777777" w:rsidR="00202856" w:rsidRDefault="00202856" w:rsidP="00F54B18">
      <w:r w:rsidRPr="00202856">
        <w:t xml:space="preserve">The Individual Healthcare Plan will be developed with parents/carers, the </w:t>
      </w:r>
      <w:proofErr w:type="gramStart"/>
      <w:r w:rsidRPr="00202856">
        <w:t>pupil</w:t>
      </w:r>
      <w:proofErr w:type="gramEnd"/>
      <w:r w:rsidRPr="00202856">
        <w:t xml:space="preserve"> where appropriate, relevant school staff and relevant healthcare professionals where clinical advice, medication, emergency treatment or specialist arrangements are required.</w:t>
      </w:r>
    </w:p>
    <w:p w14:paraId="1801F63B" w14:textId="77777777" w:rsidR="00F54B18" w:rsidRDefault="00F54B18" w:rsidP="00F54B18">
      <w:r>
        <w:t xml:space="preserve">The school will review Allergy Action Plans, Asthma Action Plans and Individual Healthcare Plans at least annually, or </w:t>
      </w:r>
      <w:proofErr w:type="gramStart"/>
      <w:r>
        <w:t>sooner where</w:t>
      </w:r>
      <w:proofErr w:type="gramEnd"/>
      <w:r>
        <w:t xml:space="preserve"> there is a change in the pupil’s allergy, medication, emergency arrangements, healthcare advice, school activities, or following a serious allergic reaction or significant near miss.</w:t>
      </w:r>
    </w:p>
    <w:p w14:paraId="43720E8A" w14:textId="1F4E81AC" w:rsidR="00F54B18" w:rsidRDefault="00F54B18" w:rsidP="00F54B18">
      <w:r>
        <w:t>Where an Individual Healthcare Plan is required, the school will use the relevant</w:t>
      </w:r>
      <w:r w:rsidR="006F5423">
        <w:t xml:space="preserve"> </w:t>
      </w:r>
      <w:hyperlink r:id="rId14" w:history="1">
        <w:r w:rsidR="006F5423">
          <w:rPr>
            <w:rStyle w:val="Hyperlink"/>
          </w:rPr>
          <w:t>DfE</w:t>
        </w:r>
        <w:r w:rsidR="006F5423" w:rsidRPr="004B3854">
          <w:rPr>
            <w:rStyle w:val="Hyperlink"/>
          </w:rPr>
          <w:t>'s Supporting Pupils at School with Medical Conditions guidance and associated templates</w:t>
        </w:r>
      </w:hyperlink>
      <w:r>
        <w:t xml:space="preserve"> </w:t>
      </w:r>
      <w:r w:rsidR="006F5423">
        <w:t xml:space="preserve">that are also </w:t>
      </w:r>
      <w:r>
        <w:t>signposted in the Derbyshire County Council Supporting Pupils with Medical Needs Guidance, or an equivalent local format that captures the same information.</w:t>
      </w:r>
    </w:p>
    <w:p w14:paraId="51F8E21D" w14:textId="5295A433" w:rsidR="00AB66DB" w:rsidRPr="00775D4E" w:rsidRDefault="006A576E" w:rsidP="00FC072F">
      <w:pPr>
        <w:pStyle w:val="Heading1"/>
        <w:spacing w:before="240" w:line="360" w:lineRule="auto"/>
        <w:rPr>
          <w:bCs w:val="0"/>
          <w:color w:val="800080"/>
        </w:rPr>
      </w:pPr>
      <w:r>
        <w:rPr>
          <w:rFonts w:ascii="Arial" w:eastAsia="Arial" w:hAnsi="Arial"/>
          <w:bCs w:val="0"/>
          <w:color w:val="800080"/>
        </w:rPr>
        <w:t>8</w:t>
      </w:r>
      <w:r w:rsidR="00D03085" w:rsidRPr="00775D4E">
        <w:rPr>
          <w:rFonts w:ascii="Arial" w:eastAsia="Arial" w:hAnsi="Arial"/>
          <w:bCs w:val="0"/>
          <w:color w:val="800080"/>
        </w:rPr>
        <w:t>. Individual allergy risk assessment</w:t>
      </w:r>
    </w:p>
    <w:p w14:paraId="2C0EDC32" w14:textId="77777777" w:rsidR="005E5527" w:rsidRDefault="005E5527" w:rsidP="00BC43CB">
      <w:r w:rsidRPr="005E5527">
        <w:t>The school will consider whether an Individual Allergy Risk Assessment is required where a pupil’s allergy presents a significant or pupil-specific risk, the pupil is prescribed adrenaline devices or is at risk of anaphylaxis, or where additional controls are needed beyond the school’s general allergy safety arrangements. Any assessment will be proportionate to the pupil’s needs and the circumstances being assessed.</w:t>
      </w:r>
    </w:p>
    <w:p w14:paraId="77BD9E9D" w14:textId="700FDFF0" w:rsidR="00EA025B" w:rsidRDefault="00EA025B" w:rsidP="00BC43CB">
      <w:r w:rsidRPr="00EA025B">
        <w:t xml:space="preserve">The assessment will be proportionate to the pupil’s needs and completed in consultation with parents/carers, the </w:t>
      </w:r>
      <w:proofErr w:type="gramStart"/>
      <w:r w:rsidRPr="00EA025B">
        <w:t>pupil</w:t>
      </w:r>
      <w:proofErr w:type="gramEnd"/>
      <w:r w:rsidRPr="00EA025B">
        <w:t xml:space="preserve"> where appropriate, and relevant staff. Healthcare professional advice should be used where available. Where direct healthcare professional involvement is not available, the school should use the clinical information provided in the pupil’s Allergy Action Plan or other healthcare professional documentation.</w:t>
      </w:r>
    </w:p>
    <w:p w14:paraId="60B6A1C4" w14:textId="243E9197" w:rsidR="00806693" w:rsidRDefault="00806693" w:rsidP="00BC43CB">
      <w:r w:rsidRPr="00806693">
        <w:t>The school should use the Individual Allergy Risk Assessment template available from S4S Health, Safety and Wellbeing</w:t>
      </w:r>
      <w:r>
        <w:t xml:space="preserve"> -</w:t>
      </w:r>
      <w:r w:rsidRPr="00806693">
        <w:t xml:space="preserve"> Resources - Risk Assessment Section to support the assessment of pupil-specific allergy risks across medication, catering, curriculum activities, visits, clubs, events, inclusion and emergency arrangements.</w:t>
      </w:r>
    </w:p>
    <w:p w14:paraId="1FD5F4D4" w14:textId="16F21905" w:rsidR="00BC43CB" w:rsidRDefault="00BC43CB" w:rsidP="00BC43CB">
      <w:r>
        <w:t xml:space="preserve">The risk assessment will </w:t>
      </w:r>
      <w:proofErr w:type="gramStart"/>
      <w:r>
        <w:t>consider,</w:t>
      </w:r>
      <w:proofErr w:type="gramEnd"/>
      <w:r>
        <w:t xml:space="preserve"> where relevant:</w:t>
      </w:r>
    </w:p>
    <w:p w14:paraId="192006EF" w14:textId="58B1A024" w:rsidR="00BC43CB" w:rsidRDefault="00BC43CB" w:rsidP="00777461">
      <w:pPr>
        <w:pStyle w:val="ListParagraph"/>
        <w:numPr>
          <w:ilvl w:val="0"/>
          <w:numId w:val="13"/>
        </w:numPr>
      </w:pPr>
      <w:r>
        <w:t>known allergens and likely exposure routes</w:t>
      </w:r>
    </w:p>
    <w:p w14:paraId="7CB6B418" w14:textId="50F48267" w:rsidR="00BC43CB" w:rsidRDefault="00BC43CB" w:rsidP="00777461">
      <w:pPr>
        <w:pStyle w:val="ListParagraph"/>
        <w:numPr>
          <w:ilvl w:val="0"/>
          <w:numId w:val="13"/>
        </w:numPr>
      </w:pPr>
      <w:r>
        <w:t>classroom, curriculum and practical activities</w:t>
      </w:r>
    </w:p>
    <w:p w14:paraId="0828028B" w14:textId="78E0D433" w:rsidR="00BC43CB" w:rsidRDefault="00BC43CB" w:rsidP="00777461">
      <w:pPr>
        <w:pStyle w:val="ListParagraph"/>
        <w:numPr>
          <w:ilvl w:val="0"/>
          <w:numId w:val="13"/>
        </w:numPr>
      </w:pPr>
      <w:r>
        <w:t>lunchtime and catering arrangements</w:t>
      </w:r>
    </w:p>
    <w:p w14:paraId="01F651DC" w14:textId="308D7B1E" w:rsidR="00BC43CB" w:rsidRDefault="00BC43CB" w:rsidP="00777461">
      <w:pPr>
        <w:pStyle w:val="ListParagraph"/>
        <w:numPr>
          <w:ilvl w:val="0"/>
          <w:numId w:val="13"/>
        </w:numPr>
      </w:pPr>
      <w:r>
        <w:t>breakfast clubs, after-school clubs and wraparound care</w:t>
      </w:r>
    </w:p>
    <w:p w14:paraId="61AF23B6" w14:textId="28B70E6C" w:rsidR="00BC43CB" w:rsidRDefault="00BC43CB" w:rsidP="00777461">
      <w:pPr>
        <w:pStyle w:val="ListParagraph"/>
        <w:numPr>
          <w:ilvl w:val="0"/>
          <w:numId w:val="13"/>
        </w:numPr>
      </w:pPr>
      <w:r>
        <w:t>school trips, residential visits and sporting fixtures</w:t>
      </w:r>
    </w:p>
    <w:p w14:paraId="16F9DF34" w14:textId="73012DA9" w:rsidR="00BC43CB" w:rsidRDefault="00BC43CB" w:rsidP="00777461">
      <w:pPr>
        <w:pStyle w:val="ListParagraph"/>
        <w:numPr>
          <w:ilvl w:val="0"/>
          <w:numId w:val="13"/>
        </w:numPr>
      </w:pPr>
      <w:r>
        <w:t>food brought from home or used for celebrations, rewards or fundraising</w:t>
      </w:r>
    </w:p>
    <w:p w14:paraId="0AF48F75" w14:textId="6E9DE897" w:rsidR="00BC43CB" w:rsidRDefault="00BC43CB" w:rsidP="00777461">
      <w:pPr>
        <w:pStyle w:val="ListParagraph"/>
        <w:numPr>
          <w:ilvl w:val="0"/>
          <w:numId w:val="13"/>
        </w:numPr>
      </w:pPr>
      <w:r>
        <w:t>prescribed medication, prescribed AAIs and spare AAI access</w:t>
      </w:r>
    </w:p>
    <w:p w14:paraId="63302C81" w14:textId="2FDB4DF2" w:rsidR="00BC43CB" w:rsidRDefault="00BC43CB" w:rsidP="00777461">
      <w:pPr>
        <w:pStyle w:val="ListParagraph"/>
        <w:numPr>
          <w:ilvl w:val="0"/>
          <w:numId w:val="13"/>
        </w:numPr>
      </w:pPr>
      <w:r>
        <w:t>communication with relevant staff</w:t>
      </w:r>
    </w:p>
    <w:p w14:paraId="4A28491F" w14:textId="57C88405" w:rsidR="00BC43CB" w:rsidRDefault="00BC43CB" w:rsidP="00777461">
      <w:pPr>
        <w:pStyle w:val="ListParagraph"/>
        <w:numPr>
          <w:ilvl w:val="0"/>
          <w:numId w:val="13"/>
        </w:numPr>
      </w:pPr>
      <w:r>
        <w:t>reasonable adjustments, inclusion and wellbeing</w:t>
      </w:r>
    </w:p>
    <w:p w14:paraId="068A188F" w14:textId="715912EC" w:rsidR="00BC43CB" w:rsidRDefault="00BC43CB" w:rsidP="00777461">
      <w:pPr>
        <w:pStyle w:val="ListParagraph"/>
        <w:numPr>
          <w:ilvl w:val="0"/>
          <w:numId w:val="13"/>
        </w:numPr>
      </w:pPr>
      <w:r>
        <w:t>emergency response arrangements.</w:t>
      </w:r>
    </w:p>
    <w:p w14:paraId="034DC76A" w14:textId="07B5E371" w:rsidR="00BC43CB" w:rsidRDefault="00BC43CB" w:rsidP="00BC43CB">
      <w:r>
        <w:t>The assessment will be reviewed at least annually, or sooner following a serious allergic reaction, significant near miss, change in allergy, medication, healthcare advice, school arrangements or planned activity.</w:t>
      </w:r>
    </w:p>
    <w:p w14:paraId="65AF7E8C" w14:textId="2C1717B3" w:rsidR="00AB66DB" w:rsidRPr="00775D4E" w:rsidRDefault="006A576E" w:rsidP="00FC072F">
      <w:pPr>
        <w:pStyle w:val="Heading1"/>
        <w:spacing w:before="240" w:line="360" w:lineRule="auto"/>
        <w:rPr>
          <w:bCs w:val="0"/>
          <w:color w:val="800080"/>
        </w:rPr>
      </w:pPr>
      <w:r>
        <w:rPr>
          <w:rFonts w:ascii="Arial" w:eastAsia="Arial" w:hAnsi="Arial"/>
          <w:bCs w:val="0"/>
          <w:color w:val="800080"/>
        </w:rPr>
        <w:t>9</w:t>
      </w:r>
      <w:r w:rsidR="00D03085" w:rsidRPr="00775D4E">
        <w:rPr>
          <w:rFonts w:ascii="Arial" w:eastAsia="Arial" w:hAnsi="Arial"/>
          <w:bCs w:val="0"/>
          <w:color w:val="800080"/>
        </w:rPr>
        <w:t>. Emergency response to allergic reaction and anaphylaxis</w:t>
      </w:r>
    </w:p>
    <w:p w14:paraId="0531E936" w14:textId="77777777" w:rsidR="00A15FC9" w:rsidRDefault="00A15FC9" w:rsidP="00A15FC9">
      <w:r>
        <w:t>Symptoms of an allergic reaction may develop quickly. Mild to moderate symptoms may include itching, hives, rash, swelling of lips, face or eyes, tingling mouth, stomach pain or vomiting. More serious symptoms may include airway, breathing or circulation symptoms.</w:t>
      </w:r>
    </w:p>
    <w:p w14:paraId="4A3D4E2D" w14:textId="77777777" w:rsidR="00A15FC9" w:rsidRDefault="00A15FC9" w:rsidP="00A15FC9">
      <w:r>
        <w:t xml:space="preserve">Staff will stay with the </w:t>
      </w:r>
      <w:proofErr w:type="gramStart"/>
      <w:r>
        <w:t>pupil</w:t>
      </w:r>
      <w:proofErr w:type="gramEnd"/>
      <w:r>
        <w:t xml:space="preserve">, call for help and follow the </w:t>
      </w:r>
      <w:proofErr w:type="gramStart"/>
      <w:r>
        <w:t>pupil’s</w:t>
      </w:r>
      <w:proofErr w:type="gramEnd"/>
      <w:r>
        <w:t xml:space="preserve"> Allergy Action Plan where available. The pupil must not be left alone or sent to another area of the school to seek help.</w:t>
      </w:r>
    </w:p>
    <w:p w14:paraId="1AEA3D0C" w14:textId="77777777" w:rsidR="00A15FC9" w:rsidRDefault="00A15FC9" w:rsidP="00A15FC9">
      <w:r>
        <w:t>For mild to moderate allergic reactions, staff will follow the pupil’s Allergy Action Plan, monitor the pupil closely and contact parents/carers. If symptoms worsen, or there is any doubt about the severity of the reaction, staff will treat this as suspected anaphylaxis and act immediately.</w:t>
      </w:r>
    </w:p>
    <w:p w14:paraId="2E235E8A" w14:textId="77777777" w:rsidR="00A15FC9" w:rsidRDefault="00A15FC9" w:rsidP="00A15FC9">
      <w:r>
        <w:t>Anaphylaxis should be suspected where there are symptoms affecting the airway, breathing or circulation, or where there is rapid deterioration following exposure to a known or suspected allergen.</w:t>
      </w:r>
    </w:p>
    <w:p w14:paraId="66EE6E23" w14:textId="77777777" w:rsidR="00A15FC9" w:rsidRDefault="00A15FC9" w:rsidP="00A15FC9">
      <w:r>
        <w:t xml:space="preserve">Staff should </w:t>
      </w:r>
      <w:proofErr w:type="spellStart"/>
      <w:r>
        <w:t>recognise</w:t>
      </w:r>
      <w:proofErr w:type="spellEnd"/>
      <w:r>
        <w:t xml:space="preserve"> that severe allergic reactions and anaphylaxis may occur in individuals with no previous diagnosis of allergy. A rapid response will be initiated whenever symptoms suggest anaphylaxis, regardless of whether a known allergy has been identified.</w:t>
      </w:r>
    </w:p>
    <w:p w14:paraId="6DA15EC7" w14:textId="59AA3375" w:rsidR="007D7BD8" w:rsidRDefault="00A15FC9" w:rsidP="00A15FC9">
      <w:r>
        <w:t>Staff will be aware that asthma and allergy can co-exist. Where a pupil with a known food allergy develops sudden breathing difficulty, anaphylaxis must be considered and adrenaline should not be delayed where anaphylaxis is suspected. A reliever inhaler must not be used instead of adrenaline to treat suspected anaphylaxis.</w:t>
      </w:r>
    </w:p>
    <w:p w14:paraId="7184F2C8" w14:textId="77777777" w:rsidR="007D7BD8" w:rsidRDefault="007D7BD8">
      <w:r>
        <w:br w:type="page"/>
      </w:r>
    </w:p>
    <w:p w14:paraId="67AC488E" w14:textId="77777777" w:rsidR="00A76236" w:rsidRPr="00A76236" w:rsidRDefault="00A76236" w:rsidP="00A76236">
      <w:pPr>
        <w:rPr>
          <w:b/>
          <w:bCs/>
        </w:rPr>
      </w:pPr>
      <w:r w:rsidRPr="00A76236">
        <w:rPr>
          <w:b/>
          <w:bCs/>
        </w:rPr>
        <w:t>If anaphylaxis is suspected, staff must act immediately:</w:t>
      </w:r>
    </w:p>
    <w:tbl>
      <w:tblPr>
        <w:tblStyle w:val="TableGrid"/>
        <w:tblW w:w="0" w:type="auto"/>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25"/>
      </w:tblGrid>
      <w:tr w:rsidR="00011215" w:rsidRPr="00011215" w14:paraId="647D5F8C" w14:textId="77777777" w:rsidTr="00011215">
        <w:trPr>
          <w:trHeight w:val="517"/>
        </w:trPr>
        <w:tc>
          <w:tcPr>
            <w:tcW w:w="9825" w:type="dxa"/>
            <w:vAlign w:val="center"/>
          </w:tcPr>
          <w:p w14:paraId="17F671ED" w14:textId="77777777" w:rsidR="00011215" w:rsidRPr="00C25C10" w:rsidRDefault="00011215" w:rsidP="00011215">
            <w:pPr>
              <w:pStyle w:val="ListParagraph"/>
              <w:numPr>
                <w:ilvl w:val="0"/>
                <w:numId w:val="14"/>
              </w:numPr>
              <w:ind w:left="714" w:hanging="357"/>
              <w:rPr>
                <w:b/>
                <w:bCs/>
                <w:i/>
                <w:iCs/>
                <w:color w:val="000000" w:themeColor="text1"/>
              </w:rPr>
            </w:pPr>
            <w:proofErr w:type="gramStart"/>
            <w:r w:rsidRPr="00C25C10">
              <w:rPr>
                <w:b/>
                <w:bCs/>
                <w:color w:val="000000" w:themeColor="text1"/>
              </w:rPr>
              <w:t>keep</w:t>
            </w:r>
            <w:proofErr w:type="gramEnd"/>
            <w:r w:rsidRPr="00C25C10">
              <w:rPr>
                <w:b/>
                <w:bCs/>
                <w:color w:val="000000" w:themeColor="text1"/>
              </w:rPr>
              <w:t xml:space="preserve"> the pupil where they are and call for help. </w:t>
            </w:r>
            <w:r w:rsidRPr="00C25C10">
              <w:rPr>
                <w:b/>
                <w:bCs/>
                <w:i/>
                <w:iCs/>
                <w:color w:val="000000" w:themeColor="text1"/>
              </w:rPr>
              <w:t>Do not leave the pupil unattended</w:t>
            </w:r>
          </w:p>
        </w:tc>
      </w:tr>
      <w:tr w:rsidR="00011215" w:rsidRPr="00011215" w14:paraId="5381D3EE" w14:textId="77777777" w:rsidTr="00011215">
        <w:trPr>
          <w:trHeight w:val="553"/>
        </w:trPr>
        <w:tc>
          <w:tcPr>
            <w:tcW w:w="9825" w:type="dxa"/>
            <w:vAlign w:val="center"/>
          </w:tcPr>
          <w:p w14:paraId="38C75E85" w14:textId="77777777" w:rsidR="00011215" w:rsidRPr="00C25C10" w:rsidRDefault="00011215" w:rsidP="00011215">
            <w:pPr>
              <w:pStyle w:val="ListParagraph"/>
              <w:numPr>
                <w:ilvl w:val="0"/>
                <w:numId w:val="14"/>
              </w:numPr>
              <w:ind w:left="714" w:hanging="357"/>
              <w:rPr>
                <w:b/>
                <w:bCs/>
                <w:color w:val="000000" w:themeColor="text1"/>
              </w:rPr>
            </w:pPr>
            <w:r w:rsidRPr="00C25C10">
              <w:rPr>
                <w:b/>
                <w:bCs/>
                <w:color w:val="000000" w:themeColor="text1"/>
              </w:rPr>
              <w:t>lay the pupil flat with legs raised</w:t>
            </w:r>
          </w:p>
        </w:tc>
      </w:tr>
      <w:tr w:rsidR="00011215" w:rsidRPr="00011215" w14:paraId="073F4C8D" w14:textId="77777777" w:rsidTr="00011215">
        <w:tc>
          <w:tcPr>
            <w:tcW w:w="9825" w:type="dxa"/>
            <w:vAlign w:val="center"/>
          </w:tcPr>
          <w:p w14:paraId="36AC3378" w14:textId="77777777" w:rsidR="00011215" w:rsidRPr="00C25C10" w:rsidRDefault="00011215" w:rsidP="00011215">
            <w:pPr>
              <w:pStyle w:val="ListParagraph"/>
              <w:numPr>
                <w:ilvl w:val="0"/>
                <w:numId w:val="14"/>
              </w:numPr>
              <w:ind w:left="714" w:hanging="357"/>
              <w:rPr>
                <w:b/>
                <w:bCs/>
                <w:i/>
                <w:iCs/>
                <w:color w:val="000000" w:themeColor="text1"/>
              </w:rPr>
            </w:pPr>
            <w:proofErr w:type="gramStart"/>
            <w:r w:rsidRPr="00C25C10">
              <w:rPr>
                <w:b/>
                <w:bCs/>
                <w:color w:val="000000" w:themeColor="text1"/>
              </w:rPr>
              <w:t>if</w:t>
            </w:r>
            <w:proofErr w:type="gramEnd"/>
            <w:r w:rsidRPr="00C25C10">
              <w:rPr>
                <w:b/>
                <w:bCs/>
                <w:color w:val="000000" w:themeColor="text1"/>
              </w:rPr>
              <w:t xml:space="preserve"> breathing is difficult, the pupil may be propped up for as short a time as possible. </w:t>
            </w:r>
            <w:r w:rsidRPr="00C25C10">
              <w:rPr>
                <w:b/>
                <w:bCs/>
                <w:i/>
                <w:iCs/>
                <w:color w:val="000000" w:themeColor="text1"/>
              </w:rPr>
              <w:t xml:space="preserve">Do not allow the </w:t>
            </w:r>
            <w:proofErr w:type="gramStart"/>
            <w:r w:rsidRPr="00C25C10">
              <w:rPr>
                <w:b/>
                <w:bCs/>
                <w:i/>
                <w:iCs/>
                <w:color w:val="000000" w:themeColor="text1"/>
              </w:rPr>
              <w:t>pupil</w:t>
            </w:r>
            <w:proofErr w:type="gramEnd"/>
            <w:r w:rsidRPr="00C25C10">
              <w:rPr>
                <w:b/>
                <w:bCs/>
                <w:i/>
                <w:iCs/>
                <w:color w:val="000000" w:themeColor="text1"/>
              </w:rPr>
              <w:t xml:space="preserve"> to stand or walk</w:t>
            </w:r>
          </w:p>
        </w:tc>
      </w:tr>
      <w:tr w:rsidR="00011215" w:rsidRPr="00011215" w14:paraId="1D536235" w14:textId="77777777" w:rsidTr="00011215">
        <w:trPr>
          <w:trHeight w:val="711"/>
        </w:trPr>
        <w:tc>
          <w:tcPr>
            <w:tcW w:w="9825" w:type="dxa"/>
            <w:vAlign w:val="center"/>
          </w:tcPr>
          <w:p w14:paraId="22687B6A" w14:textId="77777777" w:rsidR="00011215" w:rsidRPr="00C25C10" w:rsidRDefault="00011215" w:rsidP="00011215">
            <w:pPr>
              <w:pStyle w:val="ListParagraph"/>
              <w:numPr>
                <w:ilvl w:val="0"/>
                <w:numId w:val="14"/>
              </w:numPr>
              <w:ind w:left="714" w:hanging="357"/>
              <w:rPr>
                <w:b/>
                <w:bCs/>
                <w:color w:val="000000" w:themeColor="text1"/>
              </w:rPr>
            </w:pPr>
            <w:r w:rsidRPr="00C25C10">
              <w:rPr>
                <w:b/>
                <w:bCs/>
                <w:color w:val="000000" w:themeColor="text1"/>
              </w:rPr>
              <w:t xml:space="preserve">summon trained staff immediately where available, </w:t>
            </w:r>
            <w:r w:rsidRPr="00C25C10">
              <w:rPr>
                <w:b/>
                <w:bCs/>
                <w:i/>
                <w:iCs/>
                <w:color w:val="000000" w:themeColor="text1"/>
              </w:rPr>
              <w:t>but do not delay emergency treatment where anaphylaxis is suspected</w:t>
            </w:r>
          </w:p>
        </w:tc>
      </w:tr>
      <w:tr w:rsidR="00011215" w:rsidRPr="00011215" w14:paraId="396D1418" w14:textId="77777777" w:rsidTr="00011215">
        <w:trPr>
          <w:trHeight w:val="1557"/>
        </w:trPr>
        <w:tc>
          <w:tcPr>
            <w:tcW w:w="9825" w:type="dxa"/>
            <w:vAlign w:val="center"/>
          </w:tcPr>
          <w:p w14:paraId="22EB56C9" w14:textId="77777777" w:rsidR="00011215" w:rsidRPr="00C25C10" w:rsidRDefault="00011215" w:rsidP="00011215">
            <w:pPr>
              <w:pStyle w:val="ListParagraph"/>
              <w:numPr>
                <w:ilvl w:val="0"/>
                <w:numId w:val="14"/>
              </w:numPr>
              <w:ind w:left="714" w:hanging="357"/>
              <w:rPr>
                <w:b/>
                <w:bCs/>
                <w:color w:val="000000" w:themeColor="text1"/>
              </w:rPr>
            </w:pPr>
            <w:proofErr w:type="gramStart"/>
            <w:r w:rsidRPr="00C25C10">
              <w:rPr>
                <w:b/>
                <w:bCs/>
                <w:color w:val="000000" w:themeColor="text1"/>
              </w:rPr>
              <w:t>a trained</w:t>
            </w:r>
            <w:proofErr w:type="gramEnd"/>
            <w:r w:rsidRPr="00C25C10">
              <w:rPr>
                <w:b/>
                <w:bCs/>
                <w:color w:val="000000" w:themeColor="text1"/>
              </w:rPr>
              <w:t xml:space="preserve"> and willing member of staff, or a member of staff whose role includes this responsibility, should administer the pupil’s prescribed adrenaline device or a permitted AAI without delay, following the instructions on the device and the pupil’s Allergy Action Plan where available. </w:t>
            </w:r>
            <w:r w:rsidRPr="00C25C10">
              <w:rPr>
                <w:b/>
                <w:bCs/>
                <w:i/>
                <w:iCs/>
                <w:color w:val="000000" w:themeColor="text1"/>
              </w:rPr>
              <w:t>Emergency action must not be delayed while waiting for a specific person if this would place the pupil at greater risk</w:t>
            </w:r>
          </w:p>
        </w:tc>
      </w:tr>
      <w:tr w:rsidR="00011215" w:rsidRPr="00011215" w14:paraId="68991E57" w14:textId="77777777" w:rsidTr="00011215">
        <w:trPr>
          <w:trHeight w:val="559"/>
        </w:trPr>
        <w:tc>
          <w:tcPr>
            <w:tcW w:w="9825" w:type="dxa"/>
            <w:vAlign w:val="center"/>
          </w:tcPr>
          <w:p w14:paraId="28A8A39A" w14:textId="77777777" w:rsidR="00011215" w:rsidRPr="00C25C10" w:rsidRDefault="00011215" w:rsidP="00011215">
            <w:pPr>
              <w:pStyle w:val="ListParagraph"/>
              <w:numPr>
                <w:ilvl w:val="0"/>
                <w:numId w:val="14"/>
              </w:numPr>
              <w:ind w:left="714" w:hanging="357"/>
              <w:rPr>
                <w:b/>
                <w:bCs/>
                <w:color w:val="000000" w:themeColor="text1"/>
              </w:rPr>
            </w:pPr>
            <w:r w:rsidRPr="00C25C10">
              <w:rPr>
                <w:b/>
                <w:bCs/>
                <w:color w:val="000000" w:themeColor="text1"/>
              </w:rPr>
              <w:t>call 999 immediately and state “anaphylaxis”</w:t>
            </w:r>
          </w:p>
        </w:tc>
      </w:tr>
      <w:tr w:rsidR="00011215" w:rsidRPr="00011215" w14:paraId="598A4118" w14:textId="77777777" w:rsidTr="00011215">
        <w:trPr>
          <w:trHeight w:val="539"/>
        </w:trPr>
        <w:tc>
          <w:tcPr>
            <w:tcW w:w="9825" w:type="dxa"/>
            <w:vAlign w:val="center"/>
          </w:tcPr>
          <w:p w14:paraId="552DCFD0" w14:textId="77777777" w:rsidR="00011215" w:rsidRPr="00C25C10" w:rsidRDefault="00011215" w:rsidP="00011215">
            <w:pPr>
              <w:pStyle w:val="ListParagraph"/>
              <w:numPr>
                <w:ilvl w:val="0"/>
                <w:numId w:val="14"/>
              </w:numPr>
              <w:ind w:left="714" w:hanging="357"/>
              <w:rPr>
                <w:b/>
                <w:bCs/>
                <w:color w:val="000000" w:themeColor="text1"/>
              </w:rPr>
            </w:pPr>
            <w:r w:rsidRPr="00C25C10">
              <w:rPr>
                <w:b/>
                <w:bCs/>
                <w:color w:val="000000" w:themeColor="text1"/>
              </w:rPr>
              <w:t>note the time adrenaline was administered</w:t>
            </w:r>
          </w:p>
        </w:tc>
      </w:tr>
      <w:tr w:rsidR="00011215" w:rsidRPr="00011215" w14:paraId="3EBFDC10" w14:textId="77777777" w:rsidTr="00011215">
        <w:trPr>
          <w:trHeight w:val="703"/>
        </w:trPr>
        <w:tc>
          <w:tcPr>
            <w:tcW w:w="9825" w:type="dxa"/>
            <w:vAlign w:val="center"/>
          </w:tcPr>
          <w:p w14:paraId="27F00A17" w14:textId="77777777" w:rsidR="00011215" w:rsidRPr="00C25C10" w:rsidRDefault="00011215" w:rsidP="00011215">
            <w:pPr>
              <w:pStyle w:val="ListParagraph"/>
              <w:numPr>
                <w:ilvl w:val="0"/>
                <w:numId w:val="14"/>
              </w:numPr>
              <w:ind w:left="714" w:hanging="357"/>
              <w:rPr>
                <w:b/>
                <w:bCs/>
                <w:color w:val="000000" w:themeColor="text1"/>
              </w:rPr>
            </w:pPr>
            <w:proofErr w:type="gramStart"/>
            <w:r w:rsidRPr="00C25C10">
              <w:rPr>
                <w:b/>
                <w:bCs/>
                <w:color w:val="000000" w:themeColor="text1"/>
              </w:rPr>
              <w:t>if</w:t>
            </w:r>
            <w:proofErr w:type="gramEnd"/>
            <w:r w:rsidRPr="00C25C10">
              <w:rPr>
                <w:b/>
                <w:bCs/>
                <w:color w:val="000000" w:themeColor="text1"/>
              </w:rPr>
              <w:t xml:space="preserve"> there is no improvement after 5 minutes, administer a second adrenaline device or AAI if available</w:t>
            </w:r>
          </w:p>
        </w:tc>
      </w:tr>
      <w:tr w:rsidR="00011215" w:rsidRPr="00011215" w14:paraId="401F6297" w14:textId="77777777" w:rsidTr="00011215">
        <w:trPr>
          <w:trHeight w:val="557"/>
        </w:trPr>
        <w:tc>
          <w:tcPr>
            <w:tcW w:w="9825" w:type="dxa"/>
            <w:vAlign w:val="center"/>
          </w:tcPr>
          <w:p w14:paraId="616A2522" w14:textId="77777777" w:rsidR="00011215" w:rsidRPr="00C25C10" w:rsidRDefault="00011215" w:rsidP="00011215">
            <w:pPr>
              <w:pStyle w:val="ListParagraph"/>
              <w:numPr>
                <w:ilvl w:val="0"/>
                <w:numId w:val="14"/>
              </w:numPr>
              <w:ind w:left="714" w:hanging="357"/>
              <w:rPr>
                <w:b/>
                <w:bCs/>
                <w:color w:val="000000" w:themeColor="text1"/>
              </w:rPr>
            </w:pPr>
            <w:r w:rsidRPr="00C25C10">
              <w:rPr>
                <w:b/>
                <w:bCs/>
                <w:color w:val="000000" w:themeColor="text1"/>
              </w:rPr>
              <w:t>if there are no signs of life, begin CPR and continue until emergency help arrives</w:t>
            </w:r>
          </w:p>
        </w:tc>
      </w:tr>
      <w:tr w:rsidR="00011215" w:rsidRPr="00011215" w14:paraId="5F104C38" w14:textId="77777777" w:rsidTr="00011215">
        <w:trPr>
          <w:trHeight w:val="565"/>
        </w:trPr>
        <w:tc>
          <w:tcPr>
            <w:tcW w:w="9825" w:type="dxa"/>
            <w:vAlign w:val="center"/>
          </w:tcPr>
          <w:p w14:paraId="0F162183" w14:textId="77777777" w:rsidR="00011215" w:rsidRPr="00C25C10" w:rsidRDefault="00011215" w:rsidP="00011215">
            <w:pPr>
              <w:pStyle w:val="ListParagraph"/>
              <w:numPr>
                <w:ilvl w:val="0"/>
                <w:numId w:val="14"/>
              </w:numPr>
              <w:ind w:left="714" w:hanging="357"/>
              <w:rPr>
                <w:b/>
                <w:bCs/>
                <w:color w:val="000000" w:themeColor="text1"/>
              </w:rPr>
            </w:pPr>
            <w:r w:rsidRPr="00C25C10">
              <w:rPr>
                <w:b/>
                <w:bCs/>
                <w:color w:val="000000" w:themeColor="text1"/>
              </w:rPr>
              <w:t>contact parents/carers as soon as possible once emergency action has been taken</w:t>
            </w:r>
          </w:p>
        </w:tc>
      </w:tr>
      <w:tr w:rsidR="00011215" w:rsidRPr="00011215" w14:paraId="7C7645BF" w14:textId="77777777" w:rsidTr="00011215">
        <w:trPr>
          <w:trHeight w:val="687"/>
        </w:trPr>
        <w:tc>
          <w:tcPr>
            <w:tcW w:w="9825" w:type="dxa"/>
            <w:vAlign w:val="center"/>
          </w:tcPr>
          <w:p w14:paraId="0F48F1F0" w14:textId="77777777" w:rsidR="00011215" w:rsidRPr="00C25C10" w:rsidRDefault="00011215" w:rsidP="00011215">
            <w:pPr>
              <w:pStyle w:val="ListParagraph"/>
              <w:numPr>
                <w:ilvl w:val="0"/>
                <w:numId w:val="14"/>
              </w:numPr>
              <w:ind w:left="714" w:hanging="357"/>
              <w:rPr>
                <w:b/>
                <w:bCs/>
                <w:color w:val="000000" w:themeColor="text1"/>
              </w:rPr>
            </w:pPr>
            <w:r w:rsidRPr="00C25C10">
              <w:rPr>
                <w:b/>
                <w:bCs/>
                <w:color w:val="000000" w:themeColor="text1"/>
              </w:rPr>
              <w:t>ensure the pupil attends hospital for observation, even if they appear to have recovered</w:t>
            </w:r>
          </w:p>
        </w:tc>
      </w:tr>
      <w:tr w:rsidR="00011215" w:rsidRPr="00011215" w14:paraId="2B4A86F2" w14:textId="77777777" w:rsidTr="00011215">
        <w:tc>
          <w:tcPr>
            <w:tcW w:w="9825" w:type="dxa"/>
            <w:vAlign w:val="center"/>
          </w:tcPr>
          <w:p w14:paraId="605EAE1D" w14:textId="77777777" w:rsidR="00011215" w:rsidRPr="00C25C10" w:rsidRDefault="00011215" w:rsidP="00011215">
            <w:pPr>
              <w:pStyle w:val="ListParagraph"/>
              <w:numPr>
                <w:ilvl w:val="0"/>
                <w:numId w:val="14"/>
              </w:numPr>
              <w:ind w:left="714" w:hanging="357"/>
              <w:rPr>
                <w:b/>
                <w:bCs/>
                <w:color w:val="000000" w:themeColor="text1"/>
              </w:rPr>
            </w:pPr>
            <w:r w:rsidRPr="00C25C10">
              <w:rPr>
                <w:b/>
                <w:bCs/>
                <w:color w:val="000000" w:themeColor="text1"/>
              </w:rPr>
              <w:t>record the incident and complete the school’s allergic reaction or near miss review process.</w:t>
            </w:r>
          </w:p>
        </w:tc>
      </w:tr>
    </w:tbl>
    <w:p w14:paraId="4E8C2E53" w14:textId="2B255066" w:rsidR="00AB66DB" w:rsidRPr="00775D4E" w:rsidRDefault="00D03085" w:rsidP="00FC072F">
      <w:pPr>
        <w:pStyle w:val="Heading1"/>
        <w:spacing w:before="240" w:line="360" w:lineRule="auto"/>
        <w:rPr>
          <w:bCs w:val="0"/>
          <w:color w:val="800080"/>
        </w:rPr>
      </w:pPr>
      <w:r w:rsidRPr="00775D4E">
        <w:rPr>
          <w:rFonts w:ascii="Arial" w:eastAsia="Arial" w:hAnsi="Arial"/>
          <w:bCs w:val="0"/>
          <w:color w:val="800080"/>
        </w:rPr>
        <w:t>1</w:t>
      </w:r>
      <w:r w:rsidR="006A576E">
        <w:rPr>
          <w:rFonts w:ascii="Arial" w:eastAsia="Arial" w:hAnsi="Arial"/>
          <w:bCs w:val="0"/>
          <w:color w:val="800080"/>
        </w:rPr>
        <w:t>0</w:t>
      </w:r>
      <w:r w:rsidRPr="00775D4E">
        <w:rPr>
          <w:rFonts w:ascii="Arial" w:eastAsia="Arial" w:hAnsi="Arial"/>
          <w:bCs w:val="0"/>
          <w:color w:val="800080"/>
        </w:rPr>
        <w:t xml:space="preserve">. Supply, storage and care </w:t>
      </w:r>
      <w:proofErr w:type="gramStart"/>
      <w:r w:rsidRPr="00775D4E">
        <w:rPr>
          <w:rFonts w:ascii="Arial" w:eastAsia="Arial" w:hAnsi="Arial"/>
          <w:bCs w:val="0"/>
          <w:color w:val="800080"/>
        </w:rPr>
        <w:t>of</w:t>
      </w:r>
      <w:proofErr w:type="gramEnd"/>
      <w:r w:rsidRPr="00775D4E">
        <w:rPr>
          <w:rFonts w:ascii="Arial" w:eastAsia="Arial" w:hAnsi="Arial"/>
          <w:bCs w:val="0"/>
          <w:color w:val="800080"/>
        </w:rPr>
        <w:t xml:space="preserve"> medication</w:t>
      </w:r>
    </w:p>
    <w:p w14:paraId="40F8E7DE" w14:textId="77777777" w:rsidR="00FF7888" w:rsidRDefault="00FF7888" w:rsidP="00FF7888">
      <w:r>
        <w:t>Parents/carers are responsible for providing prescribed allergy medication that is in date, correctly labelled and in the correct dosage. Where a pupil is prescribed adrenaline auto-injectors or other prescribed adrenaline devices, parents/carers should provide two devices for school use unless otherwise agreed in the pupil’s plan.</w:t>
      </w:r>
    </w:p>
    <w:p w14:paraId="7113802D" w14:textId="77777777" w:rsidR="00FF7888" w:rsidRDefault="00FF7888" w:rsidP="00FF7888">
      <w:r>
        <w:t>Depending on age, maturity and competence, pupils may carry their own prescribed allergy medication or adrenaline devices where this has been agreed with the school and parents/carers. Where self-carry has been agreed, the school will ensure relevant staff know what arrangements apply in an emergency.</w:t>
      </w:r>
    </w:p>
    <w:p w14:paraId="0B93ECF2" w14:textId="77777777" w:rsidR="00FF7888" w:rsidRDefault="00FF7888" w:rsidP="00FF7888">
      <w:r>
        <w:t>Where a pupil does not carry their own emergency medication, the school will store it in a clearly labelled anaphylaxis kit or other agreed location that is accessible to staff, not locked away, and able to be brought to the pupil without delay.</w:t>
      </w:r>
    </w:p>
    <w:p w14:paraId="70943226" w14:textId="635F8EEC" w:rsidR="00A04602" w:rsidRDefault="00FF7888">
      <w:r>
        <w:t xml:space="preserve">The school will </w:t>
      </w:r>
      <w:proofErr w:type="gramStart"/>
      <w:r>
        <w:t>make arrangements</w:t>
      </w:r>
      <w:proofErr w:type="gramEnd"/>
      <w:r>
        <w:t xml:space="preserve"> for prescribed adrenaline devices to be accessible during the school day and school-arranged activities, including lessons, breaktimes, lunchtimes, PE, visits, trips, playground activities and sports fields where relevant.</w:t>
      </w:r>
    </w:p>
    <w:p w14:paraId="4C65E70B" w14:textId="77777777" w:rsidR="00FF7888" w:rsidRDefault="00FF7888" w:rsidP="00FF7888">
      <w:r>
        <w:t>An anaphylaxis kit should contain, where provided or required:</w:t>
      </w:r>
    </w:p>
    <w:p w14:paraId="24A4FEC4" w14:textId="289B1E41" w:rsidR="00FF7888" w:rsidRDefault="00FF7888" w:rsidP="00777461">
      <w:pPr>
        <w:pStyle w:val="ListParagraph"/>
        <w:numPr>
          <w:ilvl w:val="0"/>
          <w:numId w:val="15"/>
        </w:numPr>
      </w:pPr>
      <w:r>
        <w:t>two AAIs or prescribed adrenaline devices where prescribed</w:t>
      </w:r>
    </w:p>
    <w:p w14:paraId="68CE5A7A" w14:textId="33294CF9" w:rsidR="00FF7888" w:rsidRDefault="00FF7888" w:rsidP="00777461">
      <w:pPr>
        <w:pStyle w:val="ListParagraph"/>
        <w:numPr>
          <w:ilvl w:val="0"/>
          <w:numId w:val="15"/>
        </w:numPr>
      </w:pPr>
      <w:r>
        <w:t>the pupil’s up-to-date Allergy Action Plan</w:t>
      </w:r>
    </w:p>
    <w:p w14:paraId="4F71D9C7" w14:textId="37A6D2E3" w:rsidR="00FF7888" w:rsidRDefault="00FF7888" w:rsidP="00777461">
      <w:pPr>
        <w:pStyle w:val="ListParagraph"/>
        <w:numPr>
          <w:ilvl w:val="0"/>
          <w:numId w:val="15"/>
        </w:numPr>
      </w:pPr>
      <w:r>
        <w:t>antihistamine if included on the plan</w:t>
      </w:r>
    </w:p>
    <w:p w14:paraId="5DBC90DE" w14:textId="37878250" w:rsidR="00FF7888" w:rsidRDefault="00FF7888" w:rsidP="00777461">
      <w:pPr>
        <w:pStyle w:val="ListParagraph"/>
        <w:numPr>
          <w:ilvl w:val="0"/>
          <w:numId w:val="15"/>
        </w:numPr>
      </w:pPr>
      <w:r>
        <w:t xml:space="preserve">asthma inhaler </w:t>
      </w:r>
      <w:proofErr w:type="gramStart"/>
      <w:r>
        <w:t>if</w:t>
      </w:r>
      <w:proofErr w:type="gramEnd"/>
      <w:r>
        <w:t xml:space="preserve"> included </w:t>
      </w:r>
      <w:proofErr w:type="gramStart"/>
      <w:r>
        <w:t>on</w:t>
      </w:r>
      <w:proofErr w:type="gramEnd"/>
      <w:r>
        <w:t xml:space="preserve"> the plan</w:t>
      </w:r>
    </w:p>
    <w:p w14:paraId="260E6BDE" w14:textId="7864B11C" w:rsidR="00FF7888" w:rsidRDefault="00FF7888" w:rsidP="00777461">
      <w:pPr>
        <w:pStyle w:val="ListParagraph"/>
        <w:numPr>
          <w:ilvl w:val="0"/>
          <w:numId w:val="15"/>
        </w:numPr>
      </w:pPr>
      <w:r>
        <w:t>any other items specified in the pupil’s plan.</w:t>
      </w:r>
    </w:p>
    <w:p w14:paraId="2B5E1BD9" w14:textId="77777777" w:rsidR="00FF7888" w:rsidRDefault="00FF7888" w:rsidP="00FF7888">
      <w:r>
        <w:t xml:space="preserve">Prescribed adrenaline devices and spare AAIs will be stored in line with the manufacturer’s instructions, at room temperature, protected from direct sunlight and temperature extremes, and must not be refrigerated. </w:t>
      </w:r>
      <w:r w:rsidRPr="00354C5C">
        <w:rPr>
          <w:b/>
          <w:bCs/>
        </w:rPr>
        <w:t>They must not be locked away or kept in a location where access is restricted.</w:t>
      </w:r>
    </w:p>
    <w:p w14:paraId="5EB35BD5" w14:textId="77777777" w:rsidR="00FF7888" w:rsidRDefault="00FF7888" w:rsidP="00FF7888">
      <w:r>
        <w:t>The school will keep a record of pupils who have prescribed adrenaline devices and will check allergy medication regularly. Parents/carers remain responsible for replacing medication before it expires or after it has been used.</w:t>
      </w:r>
    </w:p>
    <w:p w14:paraId="4795818C" w14:textId="4C1C1D0C" w:rsidR="00FF7888" w:rsidRDefault="00FF7888" w:rsidP="00FF7888">
      <w:r>
        <w:t>Used AAIs will be disposed of safely as sharps. They may be handed to ambulance staff or disposed of through an appropriate clinical waste route.</w:t>
      </w:r>
    </w:p>
    <w:p w14:paraId="2E52170C" w14:textId="36B7FE86" w:rsidR="00AB66DB" w:rsidRPr="00775D4E" w:rsidRDefault="00D03085" w:rsidP="00FC072F">
      <w:pPr>
        <w:pStyle w:val="Heading1"/>
        <w:spacing w:before="240" w:line="360" w:lineRule="auto"/>
        <w:rPr>
          <w:bCs w:val="0"/>
          <w:color w:val="800080"/>
        </w:rPr>
      </w:pPr>
      <w:r w:rsidRPr="00775D4E">
        <w:rPr>
          <w:rFonts w:ascii="Arial" w:eastAsia="Arial" w:hAnsi="Arial"/>
          <w:bCs w:val="0"/>
          <w:color w:val="800080"/>
        </w:rPr>
        <w:t>1</w:t>
      </w:r>
      <w:r w:rsidR="006A576E">
        <w:rPr>
          <w:rFonts w:ascii="Arial" w:eastAsia="Arial" w:hAnsi="Arial"/>
          <w:bCs w:val="0"/>
          <w:color w:val="800080"/>
        </w:rPr>
        <w:t>1</w:t>
      </w:r>
      <w:r w:rsidRPr="00775D4E">
        <w:rPr>
          <w:rFonts w:ascii="Arial" w:eastAsia="Arial" w:hAnsi="Arial"/>
          <w:bCs w:val="0"/>
          <w:color w:val="800080"/>
        </w:rPr>
        <w:t>. Spare adrenaline auto-injectors</w:t>
      </w:r>
    </w:p>
    <w:p w14:paraId="000FEF8E" w14:textId="2EC0693E" w:rsidR="004E2C71" w:rsidRPr="004E2C71" w:rsidRDefault="00267863" w:rsidP="004E2C71">
      <w:pPr>
        <w:rPr>
          <w:color w:val="000000" w:themeColor="text1"/>
        </w:rPr>
      </w:pPr>
      <w:proofErr w:type="spellStart"/>
      <w:proofErr w:type="gramStart"/>
      <w:r>
        <w:rPr>
          <w:color w:val="276E8B" w:themeColor="accent1" w:themeShade="BF"/>
        </w:rPr>
        <w:t>St.John’s</w:t>
      </w:r>
      <w:proofErr w:type="spellEnd"/>
      <w:proofErr w:type="gramEnd"/>
      <w:r>
        <w:rPr>
          <w:color w:val="276E8B" w:themeColor="accent1" w:themeShade="BF"/>
        </w:rPr>
        <w:t xml:space="preserve"> CE Primary School and Nursery</w:t>
      </w:r>
      <w:r w:rsidR="004E2C71" w:rsidRPr="004E2C71">
        <w:rPr>
          <w:color w:val="276E8B" w:themeColor="accent1" w:themeShade="BF"/>
        </w:rPr>
        <w:t xml:space="preserve"> </w:t>
      </w:r>
      <w:r w:rsidR="004E2C71" w:rsidRPr="004E2C71">
        <w:rPr>
          <w:color w:val="000000" w:themeColor="text1"/>
        </w:rPr>
        <w:t>will hold spare adrenaline auto-injectors (AAIs) for emergency use in line with national guidance and this policy.</w:t>
      </w:r>
    </w:p>
    <w:p w14:paraId="254C0286" w14:textId="77777777" w:rsidR="00024CFA" w:rsidRDefault="00024CFA" w:rsidP="004E2C71">
      <w:pPr>
        <w:rPr>
          <w:color w:val="000000" w:themeColor="text1"/>
        </w:rPr>
      </w:pPr>
      <w:r w:rsidRPr="00024CFA">
        <w:rPr>
          <w:color w:val="000000" w:themeColor="text1"/>
        </w:rPr>
        <w:t xml:space="preserve">Spare AAIs are intended for emergency use where anaphylaxis is suspected and a pupil’s own prescribed device is not available, is not working, is out of date, has misfired, or where emergency action is required for a person presenting with suspected anaphylaxis. This may include a person who has not previously been known to have an allergy, where anaphylaxis is suspected and use of the spare AAI is permitted by national guidance and the school’s emergency arrangements. Staff should follow the instructions on the device, the </w:t>
      </w:r>
      <w:proofErr w:type="gramStart"/>
      <w:r w:rsidRPr="00024CFA">
        <w:rPr>
          <w:color w:val="000000" w:themeColor="text1"/>
        </w:rPr>
        <w:t>pupil’s</w:t>
      </w:r>
      <w:proofErr w:type="gramEnd"/>
      <w:r w:rsidRPr="00024CFA">
        <w:rPr>
          <w:color w:val="000000" w:themeColor="text1"/>
        </w:rPr>
        <w:t xml:space="preserve"> Allergy Action Plan where available, and any emergency services advice.</w:t>
      </w:r>
    </w:p>
    <w:p w14:paraId="063A8BDA" w14:textId="79574DAE" w:rsidR="004E2C71" w:rsidRPr="004E2C71" w:rsidRDefault="004E2C71" w:rsidP="004E2C71">
      <w:pPr>
        <w:rPr>
          <w:color w:val="000000" w:themeColor="text1"/>
        </w:rPr>
      </w:pPr>
      <w:r w:rsidRPr="004E2C71">
        <w:rPr>
          <w:color w:val="000000" w:themeColor="text1"/>
        </w:rPr>
        <w:t>Spare AAIs are not a replacement for a pupil’s own prescribed adrenaline devices. Parents/carers remain responsible for providing in-date prescribed medication for their child, including two prescribed adrenaline devices where required.</w:t>
      </w:r>
    </w:p>
    <w:p w14:paraId="1A31CA90" w14:textId="77777777" w:rsidR="00CD7888" w:rsidRPr="00CD7888" w:rsidRDefault="00CD7888" w:rsidP="00CD7888">
      <w:pPr>
        <w:rPr>
          <w:color w:val="000000" w:themeColor="text1"/>
        </w:rPr>
      </w:pPr>
    </w:p>
    <w:p w14:paraId="0334AD3D" w14:textId="77777777" w:rsidR="00CD7888" w:rsidRPr="00CD7888" w:rsidRDefault="00CD7888" w:rsidP="00CD7888">
      <w:pPr>
        <w:rPr>
          <w:color w:val="000000" w:themeColor="text1"/>
        </w:rPr>
      </w:pPr>
      <w:r w:rsidRPr="00CD7888">
        <w:rPr>
          <w:color w:val="000000" w:themeColor="text1"/>
        </w:rPr>
        <w:t>Spare AAIs will be:</w:t>
      </w:r>
    </w:p>
    <w:p w14:paraId="16E6B61C" w14:textId="28FB5E08" w:rsidR="00CD7888" w:rsidRPr="00CD7888" w:rsidRDefault="00CD7888" w:rsidP="00CD7888">
      <w:pPr>
        <w:pStyle w:val="ListParagraph"/>
        <w:numPr>
          <w:ilvl w:val="0"/>
          <w:numId w:val="22"/>
        </w:numPr>
        <w:rPr>
          <w:color w:val="000000" w:themeColor="text1"/>
        </w:rPr>
      </w:pPr>
      <w:r w:rsidRPr="00CD7888">
        <w:rPr>
          <w:color w:val="000000" w:themeColor="text1"/>
        </w:rPr>
        <w:t>the correct dosage for the pupils who may need them</w:t>
      </w:r>
    </w:p>
    <w:p w14:paraId="2BE50573" w14:textId="4E5320B0" w:rsidR="00CD7888" w:rsidRPr="00CD7888" w:rsidRDefault="00CD7888" w:rsidP="00CD7888">
      <w:pPr>
        <w:pStyle w:val="ListParagraph"/>
        <w:numPr>
          <w:ilvl w:val="0"/>
          <w:numId w:val="22"/>
        </w:numPr>
        <w:rPr>
          <w:color w:val="000000" w:themeColor="text1"/>
        </w:rPr>
      </w:pPr>
      <w:r w:rsidRPr="00CD7888">
        <w:rPr>
          <w:color w:val="000000" w:themeColor="text1"/>
        </w:rPr>
        <w:t>clearly labelled by dosage and as spare emergency devices</w:t>
      </w:r>
    </w:p>
    <w:p w14:paraId="0C0EDCE1" w14:textId="6619DA39" w:rsidR="00CD7888" w:rsidRPr="00CD7888" w:rsidRDefault="00CD7888" w:rsidP="00CD7888">
      <w:pPr>
        <w:pStyle w:val="ListParagraph"/>
        <w:numPr>
          <w:ilvl w:val="0"/>
          <w:numId w:val="22"/>
        </w:numPr>
        <w:rPr>
          <w:color w:val="000000" w:themeColor="text1"/>
        </w:rPr>
      </w:pPr>
      <w:r w:rsidRPr="00CD7888">
        <w:rPr>
          <w:color w:val="000000" w:themeColor="text1"/>
        </w:rPr>
        <w:t>stored in a way that helps staff select the appropriate device in an emergency</w:t>
      </w:r>
    </w:p>
    <w:p w14:paraId="313C5DE2" w14:textId="08D5B831" w:rsidR="00CD7888" w:rsidRPr="00CD7888" w:rsidRDefault="00CD7888" w:rsidP="00CD7888">
      <w:pPr>
        <w:pStyle w:val="ListParagraph"/>
        <w:numPr>
          <w:ilvl w:val="0"/>
          <w:numId w:val="22"/>
        </w:numPr>
        <w:rPr>
          <w:color w:val="000000" w:themeColor="text1"/>
        </w:rPr>
      </w:pPr>
      <w:r w:rsidRPr="00CD7888">
        <w:rPr>
          <w:color w:val="000000" w:themeColor="text1"/>
        </w:rPr>
        <w:t>stored in pairs where practicable</w:t>
      </w:r>
    </w:p>
    <w:p w14:paraId="73EA7F24" w14:textId="0A07F078" w:rsidR="00CD7888" w:rsidRPr="00CD7888" w:rsidRDefault="00CD7888" w:rsidP="00CD7888">
      <w:pPr>
        <w:pStyle w:val="ListParagraph"/>
        <w:numPr>
          <w:ilvl w:val="0"/>
          <w:numId w:val="22"/>
        </w:numPr>
        <w:rPr>
          <w:color w:val="000000" w:themeColor="text1"/>
        </w:rPr>
      </w:pPr>
      <w:r w:rsidRPr="00CD7888">
        <w:rPr>
          <w:color w:val="000000" w:themeColor="text1"/>
        </w:rPr>
        <w:t>stored safely, readily accessible to staff and not locked away</w:t>
      </w:r>
    </w:p>
    <w:p w14:paraId="061C7255" w14:textId="6DA0D5B3" w:rsidR="00CD7888" w:rsidRPr="00CD7888" w:rsidRDefault="00CD7888" w:rsidP="00CD7888">
      <w:pPr>
        <w:pStyle w:val="ListParagraph"/>
        <w:numPr>
          <w:ilvl w:val="0"/>
          <w:numId w:val="22"/>
        </w:numPr>
        <w:rPr>
          <w:color w:val="000000" w:themeColor="text1"/>
        </w:rPr>
      </w:pPr>
      <w:r w:rsidRPr="00CD7888">
        <w:rPr>
          <w:color w:val="000000" w:themeColor="text1"/>
        </w:rPr>
        <w:t>located so that adrenaline can be brought to the person experiencing suspected anaphylaxis without delay and, as far as reasonably practicable, within five minutes</w:t>
      </w:r>
    </w:p>
    <w:p w14:paraId="27497A0E" w14:textId="4C8DDE83" w:rsidR="00CD7888" w:rsidRPr="00CD7888" w:rsidRDefault="00CD7888" w:rsidP="00CD7888">
      <w:pPr>
        <w:pStyle w:val="ListParagraph"/>
        <w:numPr>
          <w:ilvl w:val="0"/>
          <w:numId w:val="22"/>
        </w:numPr>
        <w:rPr>
          <w:color w:val="000000" w:themeColor="text1"/>
        </w:rPr>
      </w:pPr>
      <w:r w:rsidRPr="00CD7888">
        <w:rPr>
          <w:color w:val="000000" w:themeColor="text1"/>
        </w:rPr>
        <w:t>checked regularly and replaced before expiry or after use.</w:t>
      </w:r>
    </w:p>
    <w:p w14:paraId="6A53C1BD" w14:textId="25CA4425" w:rsidR="009F3376" w:rsidRDefault="009F3376" w:rsidP="004E2C71">
      <w:pPr>
        <w:rPr>
          <w:color w:val="000000" w:themeColor="text1"/>
        </w:rPr>
      </w:pPr>
      <w:r w:rsidRPr="009F3376">
        <w:rPr>
          <w:color w:val="000000" w:themeColor="text1"/>
        </w:rPr>
        <w:t>Where the school holds more than one dosage of spare AAI, local arrangements must clearly identify which dose is intended for which pupil group or weight range, in line with national guidance, manufacturer instructions and any healthcare professional advice available to the school. This information should be reflected in the school’s local arrangements for spare AAIs, including the number, dosage and location of devices held.</w:t>
      </w:r>
    </w:p>
    <w:p w14:paraId="0FE1F7CE" w14:textId="0322D50B" w:rsidR="004E2C71" w:rsidRPr="004E2C71" w:rsidRDefault="004E2C71" w:rsidP="004E2C71">
      <w:pPr>
        <w:rPr>
          <w:color w:val="000000" w:themeColor="text1"/>
        </w:rPr>
      </w:pPr>
      <w:r w:rsidRPr="004E2C71">
        <w:rPr>
          <w:color w:val="000000" w:themeColor="text1"/>
        </w:rPr>
        <w:t>Where the school has a large site, split site, extensive grounds or separate buildings, the school will consider whether more than one pair of spare AAIs is needed to support timely access.</w:t>
      </w:r>
    </w:p>
    <w:p w14:paraId="07D476ED" w14:textId="77777777" w:rsidR="004E2C71" w:rsidRPr="004E2C71" w:rsidRDefault="004E2C71" w:rsidP="004E2C71">
      <w:pPr>
        <w:rPr>
          <w:color w:val="000000" w:themeColor="text1"/>
        </w:rPr>
      </w:pPr>
      <w:r w:rsidRPr="004E2C71">
        <w:rPr>
          <w:color w:val="000000" w:themeColor="text1"/>
        </w:rPr>
        <w:t>The school will record the number, dosage, expiry dates and location of spare AAIs. The named allergy and anaphylaxis lead, or another identified member of staff, will check spare AAIs monthly and support replacement arrangements where required.</w:t>
      </w:r>
    </w:p>
    <w:p w14:paraId="28CB5FB5" w14:textId="2EE1F886" w:rsidR="004E2C71" w:rsidRPr="004E2C71" w:rsidRDefault="004E2C71" w:rsidP="004E2C71">
      <w:pPr>
        <w:rPr>
          <w:color w:val="000000" w:themeColor="text1"/>
        </w:rPr>
      </w:pPr>
      <w:r w:rsidRPr="004E2C71">
        <w:rPr>
          <w:color w:val="000000" w:themeColor="text1"/>
        </w:rPr>
        <w:t>The wider term adrenaline device may include an adrenaline auto-injector or, where prescribed to an individual, a non-injectable nasal adrenaline device. Schools may currently purchase spare AAIs only. If a person prescribed a nasal adrenaline device experiences suspected anaphylaxis and their prescribed device is not available, the school’s spare AAI may be used in an emergency.</w:t>
      </w:r>
    </w:p>
    <w:p w14:paraId="33CEC5AD" w14:textId="77777777" w:rsidR="00AB66DB" w:rsidRPr="00CB7A66" w:rsidRDefault="00D03085">
      <w:pPr>
        <w:rPr>
          <w:b/>
          <w:bCs/>
        </w:rPr>
      </w:pPr>
      <w:r w:rsidRPr="00CB7A66">
        <w:rPr>
          <w:b/>
          <w:bCs/>
        </w:rPr>
        <w:t>Local arrangements:</w:t>
      </w:r>
    </w:p>
    <w:tbl>
      <w:tblPr>
        <w:tblStyle w:val="TableGrid"/>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5382"/>
        <w:gridCol w:w="4580"/>
      </w:tblGrid>
      <w:tr w:rsidR="00AB66DB" w14:paraId="7B88265E" w14:textId="77777777" w:rsidTr="6B9106D2">
        <w:trPr>
          <w:trHeight w:val="601"/>
        </w:trPr>
        <w:tc>
          <w:tcPr>
            <w:tcW w:w="5382" w:type="dxa"/>
            <w:shd w:val="clear" w:color="auto" w:fill="E3F1ED" w:themeFill="accent3" w:themeFillTint="33"/>
            <w:vAlign w:val="center"/>
          </w:tcPr>
          <w:p w14:paraId="518D1B1B" w14:textId="7E8AAFBF" w:rsidR="00AB66DB" w:rsidRPr="00CB7A66" w:rsidRDefault="00EE2323">
            <w:pPr>
              <w:rPr>
                <w:bCs/>
              </w:rPr>
            </w:pPr>
            <w:r w:rsidRPr="00EE2323">
              <w:rPr>
                <w:bCs/>
              </w:rPr>
              <w:t>Number, dosage and location of spare AAIs held</w:t>
            </w:r>
          </w:p>
        </w:tc>
        <w:tc>
          <w:tcPr>
            <w:tcW w:w="4580" w:type="dxa"/>
            <w:vAlign w:val="center"/>
          </w:tcPr>
          <w:p w14:paraId="1D91DCD7" w14:textId="0FB66C40" w:rsidR="00AB66DB" w:rsidRPr="0090415D" w:rsidRDefault="68FBD239" w:rsidP="6B9106D2">
            <w:r w:rsidRPr="6B9106D2">
              <w:rPr>
                <w:color w:val="276E8B" w:themeColor="accent1" w:themeShade="BF"/>
              </w:rPr>
              <w:t xml:space="preserve">1 x </w:t>
            </w:r>
            <w:r w:rsidR="2C2E4B71" w:rsidRPr="6B9106D2">
              <w:rPr>
                <w:color w:val="276E8B" w:themeColor="accent1" w:themeShade="BF"/>
              </w:rPr>
              <w:t>0-6 yrs (150 micrograms</w:t>
            </w:r>
            <w:r w:rsidR="10DDE3BF" w:rsidRPr="6B9106D2">
              <w:rPr>
                <w:color w:val="276E8B" w:themeColor="accent1" w:themeShade="BF"/>
              </w:rPr>
              <w:t xml:space="preserve"> </w:t>
            </w:r>
          </w:p>
          <w:p w14:paraId="06F03E83" w14:textId="5CBB494B" w:rsidR="00AB66DB" w:rsidRPr="0090415D" w:rsidRDefault="29E2E545" w:rsidP="6B9106D2">
            <w:r w:rsidRPr="6B9106D2">
              <w:rPr>
                <w:color w:val="276E8B" w:themeColor="accent1" w:themeShade="BF"/>
              </w:rPr>
              <w:t xml:space="preserve">1 x </w:t>
            </w:r>
            <w:r w:rsidR="4E9FDDF3" w:rsidRPr="6B9106D2">
              <w:rPr>
                <w:color w:val="276E8B" w:themeColor="accent1" w:themeShade="BF"/>
              </w:rPr>
              <w:t>6-12 yrs (300 micrograms)</w:t>
            </w:r>
          </w:p>
          <w:p w14:paraId="33136113" w14:textId="05113430" w:rsidR="00AB66DB" w:rsidRPr="0090415D" w:rsidRDefault="10DDE3BF" w:rsidP="6B9106D2">
            <w:r w:rsidRPr="6B9106D2">
              <w:rPr>
                <w:color w:val="276E8B" w:themeColor="accent1" w:themeShade="BF"/>
              </w:rPr>
              <w:t>Medicine Cupboard</w:t>
            </w:r>
          </w:p>
        </w:tc>
      </w:tr>
      <w:tr w:rsidR="00AB66DB" w14:paraId="36106BF0" w14:textId="77777777" w:rsidTr="6B9106D2">
        <w:trPr>
          <w:trHeight w:val="553"/>
        </w:trPr>
        <w:tc>
          <w:tcPr>
            <w:tcW w:w="5382" w:type="dxa"/>
            <w:shd w:val="clear" w:color="auto" w:fill="E3F1ED" w:themeFill="accent3" w:themeFillTint="33"/>
            <w:vAlign w:val="center"/>
          </w:tcPr>
          <w:p w14:paraId="227A9C05" w14:textId="77777777" w:rsidR="00AB66DB" w:rsidRPr="00CB7A66" w:rsidRDefault="00D03085">
            <w:pPr>
              <w:rPr>
                <w:bCs/>
              </w:rPr>
            </w:pPr>
            <w:r w:rsidRPr="00CB7A66">
              <w:rPr>
                <w:bCs/>
              </w:rPr>
              <w:t>Storage location(s)</w:t>
            </w:r>
          </w:p>
        </w:tc>
        <w:tc>
          <w:tcPr>
            <w:tcW w:w="4580" w:type="dxa"/>
            <w:vAlign w:val="center"/>
          </w:tcPr>
          <w:p w14:paraId="208258BD" w14:textId="73DCBA1D" w:rsidR="00AB66DB" w:rsidRPr="0090415D" w:rsidRDefault="00267863">
            <w:pPr>
              <w:rPr>
                <w:color w:val="276E8B" w:themeColor="accent1" w:themeShade="BF"/>
              </w:rPr>
            </w:pPr>
            <w:r>
              <w:rPr>
                <w:color w:val="276E8B" w:themeColor="accent1" w:themeShade="BF"/>
              </w:rPr>
              <w:t>Medical Room</w:t>
            </w:r>
          </w:p>
        </w:tc>
      </w:tr>
      <w:tr w:rsidR="00AB66DB" w14:paraId="23C1C3E6" w14:textId="77777777" w:rsidTr="6B9106D2">
        <w:trPr>
          <w:trHeight w:val="561"/>
        </w:trPr>
        <w:tc>
          <w:tcPr>
            <w:tcW w:w="5382" w:type="dxa"/>
            <w:shd w:val="clear" w:color="auto" w:fill="E3F1ED" w:themeFill="accent3" w:themeFillTint="33"/>
            <w:vAlign w:val="center"/>
          </w:tcPr>
          <w:p w14:paraId="5EC619D6" w14:textId="77777777" w:rsidR="00AB66DB" w:rsidRPr="00CB7A66" w:rsidRDefault="00D03085">
            <w:pPr>
              <w:rPr>
                <w:bCs/>
              </w:rPr>
            </w:pPr>
            <w:r w:rsidRPr="00CB7A66">
              <w:rPr>
                <w:bCs/>
              </w:rPr>
              <w:t>Person responsible for monthly checks</w:t>
            </w:r>
          </w:p>
        </w:tc>
        <w:tc>
          <w:tcPr>
            <w:tcW w:w="4580" w:type="dxa"/>
            <w:vAlign w:val="center"/>
          </w:tcPr>
          <w:p w14:paraId="0FD38701" w14:textId="51AA7929" w:rsidR="00AB66DB" w:rsidRPr="0090415D" w:rsidRDefault="002A03CE">
            <w:pPr>
              <w:rPr>
                <w:color w:val="276E8B" w:themeColor="accent1" w:themeShade="BF"/>
              </w:rPr>
            </w:pPr>
            <w:r>
              <w:rPr>
                <w:color w:val="276E8B" w:themeColor="accent1" w:themeShade="BF"/>
              </w:rPr>
              <w:t>Mrs Richelle Cooper</w:t>
            </w:r>
          </w:p>
        </w:tc>
      </w:tr>
      <w:tr w:rsidR="00AB66DB" w14:paraId="22A220CE" w14:textId="77777777" w:rsidTr="6B9106D2">
        <w:trPr>
          <w:trHeight w:val="555"/>
        </w:trPr>
        <w:tc>
          <w:tcPr>
            <w:tcW w:w="5382" w:type="dxa"/>
            <w:shd w:val="clear" w:color="auto" w:fill="E3F1ED" w:themeFill="accent3" w:themeFillTint="33"/>
            <w:vAlign w:val="center"/>
          </w:tcPr>
          <w:p w14:paraId="07A9A52F" w14:textId="77777777" w:rsidR="00AB66DB" w:rsidRPr="00CB7A66" w:rsidRDefault="00D03085">
            <w:pPr>
              <w:rPr>
                <w:bCs/>
              </w:rPr>
            </w:pPr>
            <w:r w:rsidRPr="00CB7A66">
              <w:rPr>
                <w:bCs/>
              </w:rPr>
              <w:t>Replacement process</w:t>
            </w:r>
          </w:p>
        </w:tc>
        <w:tc>
          <w:tcPr>
            <w:tcW w:w="4580" w:type="dxa"/>
            <w:vAlign w:val="center"/>
          </w:tcPr>
          <w:p w14:paraId="5EED6D82" w14:textId="7870C577" w:rsidR="00AB66DB" w:rsidRPr="0090415D" w:rsidRDefault="24E6B482">
            <w:r w:rsidRPr="6B9106D2">
              <w:rPr>
                <w:color w:val="276E8B" w:themeColor="accent1" w:themeShade="BF"/>
              </w:rPr>
              <w:t>As required</w:t>
            </w:r>
          </w:p>
        </w:tc>
      </w:tr>
      <w:tr w:rsidR="00AB66DB" w14:paraId="7041B13E" w14:textId="77777777" w:rsidTr="6B9106D2">
        <w:trPr>
          <w:trHeight w:val="549"/>
        </w:trPr>
        <w:tc>
          <w:tcPr>
            <w:tcW w:w="5382" w:type="dxa"/>
            <w:shd w:val="clear" w:color="auto" w:fill="E3F1ED" w:themeFill="accent3" w:themeFillTint="33"/>
            <w:vAlign w:val="center"/>
          </w:tcPr>
          <w:p w14:paraId="7F0783CA" w14:textId="77777777" w:rsidR="00AB66DB" w:rsidRPr="00CB7A66" w:rsidRDefault="00D03085">
            <w:pPr>
              <w:rPr>
                <w:bCs/>
              </w:rPr>
            </w:pPr>
            <w:r w:rsidRPr="00CB7A66">
              <w:rPr>
                <w:bCs/>
              </w:rPr>
              <w:t>Record location</w:t>
            </w:r>
          </w:p>
        </w:tc>
        <w:tc>
          <w:tcPr>
            <w:tcW w:w="4580" w:type="dxa"/>
            <w:vAlign w:val="center"/>
          </w:tcPr>
          <w:p w14:paraId="7BB08DD6" w14:textId="45A5016F" w:rsidR="00AB66DB" w:rsidRPr="0090415D" w:rsidRDefault="2B22BF73">
            <w:r w:rsidRPr="6B9106D2">
              <w:rPr>
                <w:color w:val="276E8B" w:themeColor="accent1" w:themeShade="BF"/>
              </w:rPr>
              <w:t>Blue folder in Mrs Cooper's office</w:t>
            </w:r>
          </w:p>
        </w:tc>
      </w:tr>
    </w:tbl>
    <w:p w14:paraId="15C4DB25" w14:textId="13782396" w:rsidR="00AB66DB" w:rsidRPr="00775D4E" w:rsidRDefault="00D03085" w:rsidP="00FC072F">
      <w:pPr>
        <w:pStyle w:val="Heading1"/>
        <w:spacing w:before="240" w:line="360" w:lineRule="auto"/>
        <w:rPr>
          <w:bCs w:val="0"/>
          <w:color w:val="800080"/>
        </w:rPr>
      </w:pPr>
      <w:r w:rsidRPr="00775D4E">
        <w:rPr>
          <w:rFonts w:ascii="Arial" w:eastAsia="Arial" w:hAnsi="Arial"/>
          <w:bCs w:val="0"/>
          <w:color w:val="800080"/>
        </w:rPr>
        <w:t>1</w:t>
      </w:r>
      <w:r w:rsidR="006A576E">
        <w:rPr>
          <w:rFonts w:ascii="Arial" w:eastAsia="Arial" w:hAnsi="Arial"/>
          <w:bCs w:val="0"/>
          <w:color w:val="800080"/>
        </w:rPr>
        <w:t>2</w:t>
      </w:r>
      <w:r w:rsidRPr="00775D4E">
        <w:rPr>
          <w:rFonts w:ascii="Arial" w:eastAsia="Arial" w:hAnsi="Arial"/>
          <w:bCs w:val="0"/>
          <w:color w:val="800080"/>
        </w:rPr>
        <w:t>. Training and awareness</w:t>
      </w:r>
    </w:p>
    <w:p w14:paraId="1F4F41AE" w14:textId="77777777" w:rsidR="00FA2C82" w:rsidRDefault="00FA2C82" w:rsidP="00FA2C82">
      <w:r>
        <w:t>The school will provide allergy awareness and emergency response training for staff who are present when pupils are on site and whose role may involve pupil contact or allergy safety arrangements. Training will be provided at induction and refreshed at least annually, or sooner where required following a serious allergic reaction, significant near miss, change in guidance, change in pupil need or change in local arrangements.</w:t>
      </w:r>
    </w:p>
    <w:p w14:paraId="5A691B35" w14:textId="0D95C14F" w:rsidR="00E91D71" w:rsidRDefault="00E91D71" w:rsidP="00FA2C82">
      <w:r w:rsidRPr="00E91D71">
        <w:t xml:space="preserve">Training may be provided by a competent training provider, healthcare professional, school nursing service, first aid training provider or other suitably competent person or </w:t>
      </w:r>
      <w:proofErr w:type="spellStart"/>
      <w:r w:rsidRPr="00E91D71">
        <w:t>organisation</w:t>
      </w:r>
      <w:proofErr w:type="spellEnd"/>
      <w:r w:rsidRPr="00E91D71">
        <w:t>. The level of training required will depend on the staff role, the pupil’s needs, the medication involved and whether the staff member is expected to administer an AAI or provide pupil-specific support. Where a staff member is expected to administer medication or provide pupil-specific support, the school should confirm that they are competent and confident to do so.</w:t>
      </w:r>
    </w:p>
    <w:p w14:paraId="558F724B" w14:textId="77777777" w:rsidR="00FA2C82" w:rsidRDefault="00FA2C82" w:rsidP="00FA2C82">
      <w:r>
        <w:t>Training will be proportionate to staff roles and will include, where relevant:</w:t>
      </w:r>
    </w:p>
    <w:p w14:paraId="28474334" w14:textId="0788B3CF" w:rsidR="00FA2C82" w:rsidRDefault="00FA2C82" w:rsidP="00777461">
      <w:pPr>
        <w:pStyle w:val="ListParagraph"/>
        <w:numPr>
          <w:ilvl w:val="0"/>
          <w:numId w:val="17"/>
        </w:numPr>
      </w:pPr>
      <w:r>
        <w:t>common allergens and allergy triggers</w:t>
      </w:r>
    </w:p>
    <w:p w14:paraId="50E9D85D" w14:textId="2FD22B0F" w:rsidR="00FA2C82" w:rsidRDefault="00FA2C82" w:rsidP="00777461">
      <w:pPr>
        <w:pStyle w:val="ListParagraph"/>
        <w:numPr>
          <w:ilvl w:val="0"/>
          <w:numId w:val="17"/>
        </w:numPr>
      </w:pPr>
      <w:proofErr w:type="gramStart"/>
      <w:r>
        <w:t>how</w:t>
      </w:r>
      <w:proofErr w:type="gramEnd"/>
      <w:r>
        <w:t xml:space="preserve"> allergic reactions can occur</w:t>
      </w:r>
    </w:p>
    <w:p w14:paraId="361E43A6" w14:textId="7783C9C9" w:rsidR="00FA2C82" w:rsidRDefault="00FA2C82" w:rsidP="00777461">
      <w:pPr>
        <w:pStyle w:val="ListParagraph"/>
        <w:numPr>
          <w:ilvl w:val="0"/>
          <w:numId w:val="17"/>
        </w:numPr>
      </w:pPr>
      <w:r>
        <w:t>recognition of mild, moderate and severe allergic reactions</w:t>
      </w:r>
    </w:p>
    <w:p w14:paraId="4216054E" w14:textId="1A2BB61A" w:rsidR="00FA2C82" w:rsidRDefault="00FA2C82" w:rsidP="00777461">
      <w:pPr>
        <w:pStyle w:val="ListParagraph"/>
        <w:numPr>
          <w:ilvl w:val="0"/>
          <w:numId w:val="17"/>
        </w:numPr>
      </w:pPr>
      <w:r>
        <w:t>recognition of anaphylaxis and the need for immediate action</w:t>
      </w:r>
    </w:p>
    <w:p w14:paraId="61D65E8C" w14:textId="2C5185EB" w:rsidR="00FA2C82" w:rsidRDefault="00FA2C82" w:rsidP="00777461">
      <w:pPr>
        <w:pStyle w:val="ListParagraph"/>
        <w:numPr>
          <w:ilvl w:val="0"/>
          <w:numId w:val="17"/>
        </w:numPr>
      </w:pPr>
      <w:r>
        <w:t>how and when to call 999</w:t>
      </w:r>
    </w:p>
    <w:p w14:paraId="77F5F932" w14:textId="03180CF8" w:rsidR="00FA2C82" w:rsidRDefault="00FA2C82" w:rsidP="00777461">
      <w:pPr>
        <w:pStyle w:val="ListParagraph"/>
        <w:numPr>
          <w:ilvl w:val="0"/>
          <w:numId w:val="17"/>
        </w:numPr>
      </w:pPr>
      <w:r>
        <w:t>where pupil medication and spare AAIs are located</w:t>
      </w:r>
    </w:p>
    <w:p w14:paraId="3265F949" w14:textId="7314F597" w:rsidR="00FA2C82" w:rsidRDefault="00FA2C82" w:rsidP="00777461">
      <w:pPr>
        <w:pStyle w:val="ListParagraph"/>
        <w:numPr>
          <w:ilvl w:val="0"/>
          <w:numId w:val="17"/>
        </w:numPr>
      </w:pPr>
      <w:r>
        <w:t xml:space="preserve">how to administer AAIs, including practical </w:t>
      </w:r>
      <w:proofErr w:type="spellStart"/>
      <w:r>
        <w:t>familiarisation</w:t>
      </w:r>
      <w:proofErr w:type="spellEnd"/>
      <w:r>
        <w:t xml:space="preserve"> with trainer devices where available</w:t>
      </w:r>
    </w:p>
    <w:p w14:paraId="0D1944C2" w14:textId="49D96256" w:rsidR="00FA2C82" w:rsidRDefault="00FA2C82" w:rsidP="00777461">
      <w:pPr>
        <w:pStyle w:val="ListParagraph"/>
        <w:numPr>
          <w:ilvl w:val="0"/>
          <w:numId w:val="17"/>
        </w:numPr>
      </w:pPr>
      <w:r>
        <w:t>the school’s allergy safety arrangements, including risk reduction measures, allergen avoidance and cross-contamination controls</w:t>
      </w:r>
    </w:p>
    <w:p w14:paraId="1D6F74C9" w14:textId="14CFAB79" w:rsidR="00FA2C82" w:rsidRDefault="00FA2C82" w:rsidP="00777461">
      <w:pPr>
        <w:pStyle w:val="ListParagraph"/>
        <w:numPr>
          <w:ilvl w:val="0"/>
          <w:numId w:val="17"/>
        </w:numPr>
      </w:pPr>
      <w:r>
        <w:t>staff roles and responsibilities</w:t>
      </w:r>
    </w:p>
    <w:p w14:paraId="57E0003C" w14:textId="00C5DA12" w:rsidR="00FA2C82" w:rsidRDefault="00FA2C82" w:rsidP="00777461">
      <w:pPr>
        <w:pStyle w:val="ListParagraph"/>
        <w:numPr>
          <w:ilvl w:val="0"/>
          <w:numId w:val="17"/>
        </w:numPr>
      </w:pPr>
      <w:r>
        <w:t>how to report allergic reactions, suspected anaphylaxis, serious incidents and near misses.</w:t>
      </w:r>
    </w:p>
    <w:p w14:paraId="3A532A93" w14:textId="77777777" w:rsidR="003249CC" w:rsidRDefault="00FA2C82" w:rsidP="00FA2C82">
      <w:r>
        <w:t xml:space="preserve">Where a pupil requires individual support, medication, emergency arrangements or procedures that go beyond general allergy awareness, the school will arrange pupil-specific information, instruction or training where required. Clinical or technical training will be supported by appropriate </w:t>
      </w:r>
      <w:proofErr w:type="gramStart"/>
      <w:r>
        <w:t>healthcare professional</w:t>
      </w:r>
      <w:proofErr w:type="gramEnd"/>
      <w:r>
        <w:t xml:space="preserve"> advice where needed.</w:t>
      </w:r>
      <w:r w:rsidR="008B216C">
        <w:t xml:space="preserve"> </w:t>
      </w:r>
    </w:p>
    <w:p w14:paraId="3766ED0B" w14:textId="77777777" w:rsidR="0018028C" w:rsidRDefault="003249CC" w:rsidP="00FA2C82">
      <w:r w:rsidRPr="003249CC">
        <w:t xml:space="preserve">Staff will only be expected to administer allergy medication where they have agreed to do so and have received appropriate information, instruction or training, unless this forms part of their contract, role or job description. Staff should not be pressured to undertake allergy medication administration where this has not been agreed. </w:t>
      </w:r>
      <w:r w:rsidR="0018028C" w:rsidRPr="0018028C">
        <w:t>This does not prevent staff from taking reasonable emergency action to preserve life or prevent serious harm, including summoning emergency assistance, calling 999, or following emergency services advice.</w:t>
      </w:r>
    </w:p>
    <w:p w14:paraId="4F67035A" w14:textId="5F6817D3" w:rsidR="00FA2C82" w:rsidRDefault="00FA2C82" w:rsidP="00FA2C82">
      <w:r>
        <w:t>First aid training alone will not be treated as a substitute for allergy awareness and emergency response training.</w:t>
      </w:r>
    </w:p>
    <w:p w14:paraId="1C03C910" w14:textId="7D7DDEB9" w:rsidR="00FA2C82" w:rsidRDefault="00FA2C82" w:rsidP="00FA2C82">
      <w:pPr>
        <w:spacing w:after="0"/>
      </w:pPr>
      <w:r>
        <w:t>The school will keep records of allergy training, including dates, attendance, training content and refresher requirements.</w:t>
      </w:r>
    </w:p>
    <w:p w14:paraId="723A6BED" w14:textId="4A2D749B" w:rsidR="00AB66DB" w:rsidRPr="00775D4E" w:rsidRDefault="00D03085" w:rsidP="00FA2C82">
      <w:pPr>
        <w:pStyle w:val="Heading1"/>
        <w:spacing w:before="240" w:line="360" w:lineRule="auto"/>
        <w:rPr>
          <w:bCs w:val="0"/>
          <w:color w:val="800080"/>
        </w:rPr>
      </w:pPr>
      <w:r w:rsidRPr="00775D4E">
        <w:rPr>
          <w:rFonts w:ascii="Arial" w:eastAsia="Arial" w:hAnsi="Arial"/>
          <w:bCs w:val="0"/>
          <w:color w:val="800080"/>
        </w:rPr>
        <w:t>1</w:t>
      </w:r>
      <w:r w:rsidR="006A576E">
        <w:rPr>
          <w:rFonts w:ascii="Arial" w:eastAsia="Arial" w:hAnsi="Arial"/>
          <w:bCs w:val="0"/>
          <w:color w:val="800080"/>
        </w:rPr>
        <w:t>3</w:t>
      </w:r>
      <w:r w:rsidRPr="00775D4E">
        <w:rPr>
          <w:rFonts w:ascii="Arial" w:eastAsia="Arial" w:hAnsi="Arial"/>
          <w:bCs w:val="0"/>
          <w:color w:val="800080"/>
        </w:rPr>
        <w:t>. Catering and food allergen management</w:t>
      </w:r>
    </w:p>
    <w:p w14:paraId="7F68A7F7" w14:textId="77777777" w:rsidR="00FB7118" w:rsidRDefault="00FB7118" w:rsidP="00FB7118">
      <w:r>
        <w:t>The school will work with its catering provider or catering team to manage food allergy risks and provide clear allergen information for food provided by the school. The school will maintain a system for identifying pupils with food allergies to catering staff where this is needed to keep pupils safe.</w:t>
      </w:r>
    </w:p>
    <w:p w14:paraId="4D1EA5C3" w14:textId="77777777" w:rsidR="00FB7118" w:rsidRDefault="00FB7118" w:rsidP="00FB7118">
      <w:r>
        <w:t>The school will ensure that, where relevant:</w:t>
      </w:r>
    </w:p>
    <w:p w14:paraId="00B9B35A" w14:textId="3CFB4391" w:rsidR="00FB7118" w:rsidRDefault="00FB7118" w:rsidP="00777461">
      <w:pPr>
        <w:pStyle w:val="ListParagraph"/>
        <w:numPr>
          <w:ilvl w:val="0"/>
          <w:numId w:val="18"/>
        </w:numPr>
      </w:pPr>
      <w:r>
        <w:t xml:space="preserve">menus and allergen information are available to parents/carers in advance </w:t>
      </w:r>
      <w:proofErr w:type="gramStart"/>
      <w:r>
        <w:t>where</w:t>
      </w:r>
      <w:proofErr w:type="gramEnd"/>
      <w:r>
        <w:t xml:space="preserve"> reasonably practicable</w:t>
      </w:r>
    </w:p>
    <w:p w14:paraId="6F223346" w14:textId="2C955995" w:rsidR="00FB7118" w:rsidRDefault="00FB7118" w:rsidP="00777461">
      <w:pPr>
        <w:pStyle w:val="ListParagraph"/>
        <w:numPr>
          <w:ilvl w:val="0"/>
          <w:numId w:val="18"/>
        </w:numPr>
      </w:pPr>
      <w:r>
        <w:t>parents/carers can discuss their child’s dietary needs with the catering manager or appropriate member of staff</w:t>
      </w:r>
    </w:p>
    <w:p w14:paraId="0E15EB63" w14:textId="0538B7C0" w:rsidR="00FB7118" w:rsidRDefault="00FB7118" w:rsidP="00777461">
      <w:pPr>
        <w:pStyle w:val="ListParagraph"/>
        <w:numPr>
          <w:ilvl w:val="0"/>
          <w:numId w:val="18"/>
        </w:numPr>
      </w:pPr>
      <w:r>
        <w:t>ingredient changes, product substitutions and menu changes are checked before food is provided to pupils with known food allergies</w:t>
      </w:r>
    </w:p>
    <w:p w14:paraId="79F3E3A4" w14:textId="281D135E" w:rsidR="00FB7118" w:rsidRDefault="00FB7118" w:rsidP="00777461">
      <w:pPr>
        <w:pStyle w:val="ListParagraph"/>
        <w:numPr>
          <w:ilvl w:val="0"/>
          <w:numId w:val="18"/>
        </w:numPr>
      </w:pPr>
      <w:r>
        <w:t>reasonable controls are in place to reduce the risk of allergen cross-contact or cross-contamination during storage, preparation, cooking and serving</w:t>
      </w:r>
    </w:p>
    <w:p w14:paraId="1C711101" w14:textId="256E08AE" w:rsidR="00FB7118" w:rsidRDefault="00FB7118" w:rsidP="00777461">
      <w:pPr>
        <w:pStyle w:val="ListParagraph"/>
        <w:numPr>
          <w:ilvl w:val="0"/>
          <w:numId w:val="18"/>
        </w:numPr>
      </w:pPr>
      <w:r>
        <w:t>food is not provided to primary school age pupils with known food allergies without appropriate parental engagement and agreement</w:t>
      </w:r>
    </w:p>
    <w:p w14:paraId="38A601BF" w14:textId="4E8A99CD" w:rsidR="00FB7118" w:rsidRDefault="00FB7118" w:rsidP="00777461">
      <w:pPr>
        <w:pStyle w:val="ListParagraph"/>
        <w:numPr>
          <w:ilvl w:val="0"/>
          <w:numId w:val="18"/>
        </w:numPr>
      </w:pPr>
      <w:r>
        <w:t>food used in lessons, crafts, science, celebrations, rewards, fundraising and events is considered as part of allergy risk management where relevant.</w:t>
      </w:r>
    </w:p>
    <w:p w14:paraId="65F1861E" w14:textId="77777777" w:rsidR="00FB7118" w:rsidRDefault="00FB7118" w:rsidP="00FB7118">
      <w:r>
        <w:t>The school will also consider allergy risks linked to food brought in by others, including packed lunches, birthday treats, rewards, fundraising events and food provided by visitors or external providers.</w:t>
      </w:r>
    </w:p>
    <w:p w14:paraId="58473022" w14:textId="77777777" w:rsidR="00FB7118" w:rsidRDefault="00FB7118" w:rsidP="00FB7118">
      <w:r>
        <w:t>The school does not claim to provide an allergen-free environment. Any specific food restrictions or additional controls will be based on individual need, risk assessment and clear communication.</w:t>
      </w:r>
    </w:p>
    <w:p w14:paraId="205E0D52" w14:textId="22B83F42" w:rsidR="00AB66DB" w:rsidRDefault="00FB7118" w:rsidP="00FB7118">
      <w:pPr>
        <w:rPr>
          <w:color w:val="276E8B" w:themeColor="accent1" w:themeShade="BF"/>
        </w:rPr>
      </w:pPr>
      <w:r>
        <w:t xml:space="preserve">The school’s local catering arrangements are: </w:t>
      </w:r>
      <w:r w:rsidRPr="00B5514D">
        <w:rPr>
          <w:color w:val="276E8B" w:themeColor="accent1" w:themeShade="BF"/>
        </w:rPr>
        <w:t xml:space="preserve">[Insert details, including provider, special diet process, pupil identification system and communication route] </w:t>
      </w:r>
    </w:p>
    <w:p w14:paraId="1B97E374" w14:textId="2CF25608" w:rsidR="00AB66DB" w:rsidRPr="00775D4E" w:rsidRDefault="00D03085" w:rsidP="00FC072F">
      <w:pPr>
        <w:pStyle w:val="Heading1"/>
        <w:spacing w:before="240" w:line="360" w:lineRule="auto"/>
        <w:rPr>
          <w:bCs w:val="0"/>
          <w:color w:val="800080"/>
        </w:rPr>
      </w:pPr>
      <w:r w:rsidRPr="00775D4E">
        <w:rPr>
          <w:rFonts w:ascii="Arial" w:eastAsia="Arial" w:hAnsi="Arial"/>
          <w:bCs w:val="0"/>
          <w:color w:val="800080"/>
        </w:rPr>
        <w:t>1</w:t>
      </w:r>
      <w:r w:rsidR="006A576E">
        <w:rPr>
          <w:rFonts w:ascii="Arial" w:eastAsia="Arial" w:hAnsi="Arial"/>
          <w:bCs w:val="0"/>
          <w:color w:val="800080"/>
        </w:rPr>
        <w:t>4</w:t>
      </w:r>
      <w:r w:rsidRPr="00775D4E">
        <w:rPr>
          <w:rFonts w:ascii="Arial" w:eastAsia="Arial" w:hAnsi="Arial"/>
          <w:bCs w:val="0"/>
          <w:color w:val="800080"/>
        </w:rPr>
        <w:t>. Educational visits, clubs and school activities</w:t>
      </w:r>
    </w:p>
    <w:p w14:paraId="1A339412" w14:textId="77777777" w:rsidR="00D44243" w:rsidRDefault="00D44243" w:rsidP="00D44243">
      <w:r>
        <w:t>The school will consider allergy risks when planning educational visits, residential visits, clubs, sporting fixtures, off-site activities and school events.</w:t>
      </w:r>
    </w:p>
    <w:p w14:paraId="4F91BED3" w14:textId="77777777" w:rsidR="00D44243" w:rsidRDefault="00D44243" w:rsidP="00D44243">
      <w:r>
        <w:t>Staff leading the activity will check, where relevant, that pupils with allergies have required medication, relevant plans and appropriate emergency arrangements in place. This may include the pupil’s Allergy Action Plan, Individual Healthcare Plan, Individual Allergy Risk Assessment and prescribed adrenaline devices.</w:t>
      </w:r>
    </w:p>
    <w:p w14:paraId="6BD95644" w14:textId="77777777" w:rsidR="00D44243" w:rsidRDefault="00D44243" w:rsidP="00D44243">
      <w:r>
        <w:t xml:space="preserve">Where a pupil is at risk of anaphylaxis, the school will ensure that staff supervising the activity know how to </w:t>
      </w:r>
      <w:proofErr w:type="spellStart"/>
      <w:r>
        <w:t>recognise</w:t>
      </w:r>
      <w:proofErr w:type="spellEnd"/>
      <w:r>
        <w:t xml:space="preserve"> an allergic reaction, summon help, access emergency medication and follow the pupil’s emergency arrangements.</w:t>
      </w:r>
    </w:p>
    <w:p w14:paraId="2E8B5B4A" w14:textId="77777777" w:rsidR="00D44243" w:rsidRDefault="00D44243" w:rsidP="00D44243">
      <w:r>
        <w:t xml:space="preserve">Where food is provided by an external venue, provider or host </w:t>
      </w:r>
      <w:proofErr w:type="spellStart"/>
      <w:r>
        <w:t>organisation</w:t>
      </w:r>
      <w:proofErr w:type="spellEnd"/>
      <w:r>
        <w:t>, the school will seek appropriate allergen information in advance and agree safe arrangements with parents/carers where required.</w:t>
      </w:r>
    </w:p>
    <w:p w14:paraId="224CA37E" w14:textId="77777777" w:rsidR="00384A45" w:rsidRDefault="00D44243" w:rsidP="00D44243">
      <w:r>
        <w:t>The school will consider whether spare AAIs should be taken on an off-site activity where this is appropriate and can be managed safely. This decision will take account of the pupils attending, the activity, travel time, staffing, access to emergency services and the need to maintain suitable emergency arrangements for pupils remaining on site.</w:t>
      </w:r>
      <w:r w:rsidR="002E006D">
        <w:t xml:space="preserve"> </w:t>
      </w:r>
    </w:p>
    <w:p w14:paraId="52311818" w14:textId="732D0CB0" w:rsidR="00D44243" w:rsidRDefault="002E006D" w:rsidP="00D44243">
      <w:r w:rsidRPr="002E006D">
        <w:t xml:space="preserve">Where spare AAIs cannot reasonably be taken, the visit risk assessment must confirm how emergency arrangements will be managed. This should include ensuring the </w:t>
      </w:r>
      <w:proofErr w:type="gramStart"/>
      <w:r w:rsidRPr="002E006D">
        <w:t>pupil’s</w:t>
      </w:r>
      <w:proofErr w:type="gramEnd"/>
      <w:r w:rsidRPr="002E006D">
        <w:t xml:space="preserve"> prescribed medication is available, staff know how to respond, emergency services can be contacted, and the activity can proceed safely. If safe emergency arrangements cannot be put in place, the visit arrangements should be reviewed and reasonable adjustments considered before a decision is made.</w:t>
      </w:r>
    </w:p>
    <w:p w14:paraId="70529073" w14:textId="13060233" w:rsidR="00D44243" w:rsidRDefault="00D44243" w:rsidP="00D44243">
      <w:r>
        <w:t>Pupils will not be excluded from visits, clubs or school activities because of allergy unless, after individual assessment and consideration of reasonable adjustments, the risk cannot be managed safely.</w:t>
      </w:r>
    </w:p>
    <w:p w14:paraId="00E50259" w14:textId="5DBEED62" w:rsidR="00AB66DB" w:rsidRPr="00775D4E" w:rsidRDefault="00D03085" w:rsidP="008D3D80">
      <w:pPr>
        <w:pStyle w:val="Heading1"/>
        <w:spacing w:line="360" w:lineRule="auto"/>
        <w:rPr>
          <w:bCs w:val="0"/>
          <w:color w:val="800080"/>
        </w:rPr>
      </w:pPr>
      <w:r w:rsidRPr="00775D4E">
        <w:rPr>
          <w:rFonts w:ascii="Arial" w:eastAsia="Arial" w:hAnsi="Arial"/>
          <w:bCs w:val="0"/>
          <w:color w:val="800080"/>
        </w:rPr>
        <w:t>1</w:t>
      </w:r>
      <w:r w:rsidR="006A576E">
        <w:rPr>
          <w:rFonts w:ascii="Arial" w:eastAsia="Arial" w:hAnsi="Arial"/>
          <w:bCs w:val="0"/>
          <w:color w:val="800080"/>
        </w:rPr>
        <w:t>5</w:t>
      </w:r>
      <w:r w:rsidRPr="00775D4E">
        <w:rPr>
          <w:rFonts w:ascii="Arial" w:eastAsia="Arial" w:hAnsi="Arial"/>
          <w:bCs w:val="0"/>
          <w:color w:val="800080"/>
        </w:rPr>
        <w:t>. Allergy awareness, nut bans and allergen restrictions</w:t>
      </w:r>
    </w:p>
    <w:p w14:paraId="774B00B2" w14:textId="77777777" w:rsidR="00CF0AFC" w:rsidRDefault="00CF0AFC" w:rsidP="00CF0AFC">
      <w:r>
        <w:t xml:space="preserve">The school </w:t>
      </w:r>
      <w:proofErr w:type="spellStart"/>
      <w:r>
        <w:t>recognises</w:t>
      </w:r>
      <w:proofErr w:type="spellEnd"/>
      <w:r>
        <w:t xml:space="preserve"> that it cannot guarantee a completely allergen-free environment. The school will adopt a whole-school allergy awareness approach, supported by proportionate risk assessment, clear communication and suitable emergency response arrangements.</w:t>
      </w:r>
    </w:p>
    <w:p w14:paraId="668C609A" w14:textId="77777777" w:rsidR="00CF0AFC" w:rsidRDefault="00CF0AFC" w:rsidP="00CF0AFC">
      <w:r>
        <w:t>The school will not normally describe itself as allergen-free or rely only on blanket bans to manage allergy risks. Where specific allergen restrictions are needed, these will be based on individual need, risk assessment and clear communication with staff, pupils and parents/carers.</w:t>
      </w:r>
    </w:p>
    <w:p w14:paraId="0E620DDB" w14:textId="150CF7B8" w:rsidR="00CF0AFC" w:rsidRDefault="00CF0AFC" w:rsidP="00CF0AFC">
      <w:r>
        <w:t>Any allergen restrictions will be reviewed regularly and following any relevant allergic reaction, significant near miss, change in pupil need or change in school arrangements.</w:t>
      </w:r>
    </w:p>
    <w:p w14:paraId="1CE8E82A" w14:textId="6FD69DE1" w:rsidR="00AB66DB" w:rsidRPr="00775D4E" w:rsidRDefault="00D03085" w:rsidP="008D3D80">
      <w:pPr>
        <w:pStyle w:val="Heading1"/>
        <w:spacing w:before="240" w:line="360" w:lineRule="auto"/>
        <w:rPr>
          <w:bCs w:val="0"/>
          <w:color w:val="800080"/>
        </w:rPr>
      </w:pPr>
      <w:r w:rsidRPr="00775D4E">
        <w:rPr>
          <w:rFonts w:ascii="Arial" w:eastAsia="Arial" w:hAnsi="Arial"/>
          <w:bCs w:val="0"/>
          <w:color w:val="800080"/>
        </w:rPr>
        <w:t>1</w:t>
      </w:r>
      <w:r w:rsidR="006A576E">
        <w:rPr>
          <w:rFonts w:ascii="Arial" w:eastAsia="Arial" w:hAnsi="Arial"/>
          <w:bCs w:val="0"/>
          <w:color w:val="800080"/>
        </w:rPr>
        <w:t>6</w:t>
      </w:r>
      <w:r w:rsidRPr="00775D4E">
        <w:rPr>
          <w:rFonts w:ascii="Arial" w:eastAsia="Arial" w:hAnsi="Arial"/>
          <w:bCs w:val="0"/>
          <w:color w:val="800080"/>
        </w:rPr>
        <w:t>. Inclusion, equality, safeguarding and bullying</w:t>
      </w:r>
    </w:p>
    <w:p w14:paraId="52E8EAB7" w14:textId="77777777" w:rsidR="00EB1180" w:rsidRDefault="00EB1180" w:rsidP="00EB1180">
      <w:r>
        <w:t>The school will support pupils with allergies to participate in school life as fully and safely as possible. Reasonable adjustments will be considered where a pupil’s allergy affects their ability to access learning, activities, visits, clubs, catering arrangements or wider school opportunities.</w:t>
      </w:r>
    </w:p>
    <w:p w14:paraId="178C5A48" w14:textId="77777777" w:rsidR="00EB1180" w:rsidRDefault="00EB1180" w:rsidP="00EB1180">
      <w:r>
        <w:t>A severe allergy may amount to a disability under the Equality Act 2010. Where this applies, the school will consider reasonable adjustments in line with its equality, accessibility and SEND arrangements.</w:t>
      </w:r>
    </w:p>
    <w:p w14:paraId="32F3F399" w14:textId="77777777" w:rsidR="00EB1180" w:rsidRDefault="00EB1180" w:rsidP="00EB1180">
      <w:r>
        <w:t>Allergy-related bullying, teasing, unsafe behaviour or deliberate exposure to a known allergen will be treated seriously and managed in line with the school’s behaviour, anti-bullying and safeguarding procedures.</w:t>
      </w:r>
    </w:p>
    <w:p w14:paraId="30438F26" w14:textId="77777777" w:rsidR="00EB1180" w:rsidRDefault="00EB1180" w:rsidP="00EB1180">
      <w:r>
        <w:t xml:space="preserve">Staff will promote respectful awareness of allergies and will support pupils to understand how they can help keep others safe, without </w:t>
      </w:r>
      <w:proofErr w:type="gramStart"/>
      <w:r>
        <w:t>singling</w:t>
      </w:r>
      <w:proofErr w:type="gramEnd"/>
      <w:r>
        <w:t xml:space="preserve"> out or unnecessarily excluding pupils with allergies.</w:t>
      </w:r>
    </w:p>
    <w:p w14:paraId="6C4CCF22" w14:textId="2581AFE1" w:rsidR="00EB1180" w:rsidRDefault="00EB1180" w:rsidP="00EB1180">
      <w:r>
        <w:t>Safeguarding concerns will be considered where a pupil is repeatedly placed at risk because essential allergy information, medication or equipment is not provided, or where there are wider concerns that a pupil’s health needs are not being met.</w:t>
      </w:r>
    </w:p>
    <w:p w14:paraId="796573AE" w14:textId="0FBB931B" w:rsidR="00F260A2" w:rsidRPr="00775D4E" w:rsidRDefault="00F260A2" w:rsidP="008D3D80">
      <w:pPr>
        <w:pStyle w:val="Heading1"/>
        <w:spacing w:before="240" w:line="360" w:lineRule="auto"/>
        <w:rPr>
          <w:bCs w:val="0"/>
          <w:color w:val="800080"/>
        </w:rPr>
      </w:pPr>
      <w:r w:rsidRPr="00775D4E">
        <w:rPr>
          <w:rFonts w:ascii="Arial" w:eastAsia="Arial" w:hAnsi="Arial"/>
          <w:bCs w:val="0"/>
          <w:color w:val="800080"/>
        </w:rPr>
        <w:t>1</w:t>
      </w:r>
      <w:r>
        <w:rPr>
          <w:rFonts w:ascii="Arial" w:eastAsia="Arial" w:hAnsi="Arial"/>
          <w:bCs w:val="0"/>
          <w:color w:val="800080"/>
        </w:rPr>
        <w:t>7</w:t>
      </w:r>
      <w:r w:rsidRPr="00775D4E">
        <w:rPr>
          <w:rFonts w:ascii="Arial" w:eastAsia="Arial" w:hAnsi="Arial"/>
          <w:bCs w:val="0"/>
          <w:color w:val="800080"/>
        </w:rPr>
        <w:t xml:space="preserve">. </w:t>
      </w:r>
      <w:r>
        <w:rPr>
          <w:rFonts w:ascii="Arial" w:eastAsia="Arial" w:hAnsi="Arial"/>
          <w:bCs w:val="0"/>
          <w:color w:val="800080"/>
        </w:rPr>
        <w:t>W</w:t>
      </w:r>
      <w:r w:rsidR="00D14F3F">
        <w:rPr>
          <w:rFonts w:ascii="Arial" w:eastAsia="Arial" w:hAnsi="Arial"/>
          <w:bCs w:val="0"/>
          <w:color w:val="800080"/>
        </w:rPr>
        <w:t>ellbeing</w:t>
      </w:r>
    </w:p>
    <w:p w14:paraId="05D94ED0" w14:textId="08129D7C" w:rsidR="00C001D2" w:rsidRDefault="00C001D2" w:rsidP="00C001D2">
      <w:r>
        <w:t xml:space="preserve">The school </w:t>
      </w:r>
      <w:proofErr w:type="spellStart"/>
      <w:r>
        <w:t>recognises</w:t>
      </w:r>
      <w:proofErr w:type="spellEnd"/>
      <w:r>
        <w:t xml:space="preserve"> that living with allergies can affect a pupil’s wellbeing, confidence and participation in school life.</w:t>
      </w:r>
    </w:p>
    <w:p w14:paraId="36100983" w14:textId="77777777" w:rsidR="00C001D2" w:rsidRDefault="00C001D2" w:rsidP="00C001D2">
      <w:r>
        <w:t>The school will support pupils with allergies by:</w:t>
      </w:r>
    </w:p>
    <w:p w14:paraId="469C2253" w14:textId="51799EF4" w:rsidR="00C001D2" w:rsidRDefault="00C001D2" w:rsidP="00777461">
      <w:pPr>
        <w:pStyle w:val="ListParagraph"/>
        <w:numPr>
          <w:ilvl w:val="0"/>
          <w:numId w:val="19"/>
        </w:numPr>
      </w:pPr>
      <w:r>
        <w:t>promoting a supportive and inclusive environment</w:t>
      </w:r>
    </w:p>
    <w:p w14:paraId="6EDDAABB" w14:textId="56928E1C" w:rsidR="00C001D2" w:rsidRDefault="00C001D2" w:rsidP="00777461">
      <w:pPr>
        <w:pStyle w:val="ListParagraph"/>
        <w:numPr>
          <w:ilvl w:val="0"/>
          <w:numId w:val="19"/>
        </w:numPr>
      </w:pPr>
      <w:r>
        <w:t>treating pupils with allergies with dignity and respect</w:t>
      </w:r>
    </w:p>
    <w:p w14:paraId="48EBCD4E" w14:textId="0BBA3E66" w:rsidR="00C001D2" w:rsidRDefault="00C001D2" w:rsidP="00777461">
      <w:pPr>
        <w:pStyle w:val="ListParagraph"/>
        <w:numPr>
          <w:ilvl w:val="0"/>
          <w:numId w:val="19"/>
        </w:numPr>
      </w:pPr>
      <w:r>
        <w:t>taking reasonable steps to reduce unnecessary isolation, exclusion or anxiety linked to allergy management</w:t>
      </w:r>
    </w:p>
    <w:p w14:paraId="19300F77" w14:textId="6D0ED0DC" w:rsidR="00C001D2" w:rsidRDefault="00C001D2" w:rsidP="00777461">
      <w:pPr>
        <w:pStyle w:val="ListParagraph"/>
        <w:numPr>
          <w:ilvl w:val="0"/>
          <w:numId w:val="19"/>
        </w:numPr>
      </w:pPr>
      <w:r>
        <w:t>supporting participation in school activities wherever this can be achieved safely</w:t>
      </w:r>
    </w:p>
    <w:p w14:paraId="63CE11CF" w14:textId="3AC1B8B5" w:rsidR="00C001D2" w:rsidRDefault="00C001D2" w:rsidP="00777461">
      <w:pPr>
        <w:pStyle w:val="ListParagraph"/>
        <w:numPr>
          <w:ilvl w:val="0"/>
          <w:numId w:val="19"/>
        </w:numPr>
      </w:pPr>
      <w:r>
        <w:t>working with parents/carers and pupils, where appropriate, to respond to concerns about allergy arrangements</w:t>
      </w:r>
    </w:p>
    <w:p w14:paraId="738E1A46" w14:textId="37198062" w:rsidR="00C001D2" w:rsidRDefault="00C001D2" w:rsidP="00777461">
      <w:pPr>
        <w:pStyle w:val="ListParagraph"/>
        <w:numPr>
          <w:ilvl w:val="0"/>
          <w:numId w:val="19"/>
        </w:numPr>
      </w:pPr>
      <w:r>
        <w:t>taking appropriate action where allergy-related bullying, teasing or unsafe behaviour is identified.</w:t>
      </w:r>
    </w:p>
    <w:p w14:paraId="2FAFF156" w14:textId="74F7F9F3" w:rsidR="00060772" w:rsidRDefault="00C001D2" w:rsidP="00C001D2">
      <w:r>
        <w:t>Where a serious allergic reaction or significant near miss occurs, the school will consider whether the pupil, and others affected, need reassurance, support or adjustments before returning to normal school activities.</w:t>
      </w:r>
    </w:p>
    <w:p w14:paraId="6A5442C4" w14:textId="4C9C7B8B" w:rsidR="00AB66DB" w:rsidRPr="00775D4E" w:rsidRDefault="00D03085" w:rsidP="008D3D80">
      <w:pPr>
        <w:pStyle w:val="Heading1"/>
        <w:spacing w:before="240" w:line="360" w:lineRule="auto"/>
        <w:rPr>
          <w:bCs w:val="0"/>
          <w:color w:val="800080"/>
        </w:rPr>
      </w:pPr>
      <w:r w:rsidRPr="00775D4E">
        <w:rPr>
          <w:rFonts w:ascii="Arial" w:eastAsia="Arial" w:hAnsi="Arial"/>
          <w:bCs w:val="0"/>
          <w:color w:val="800080"/>
        </w:rPr>
        <w:t>1</w:t>
      </w:r>
      <w:r w:rsidR="00D14F3F">
        <w:rPr>
          <w:rFonts w:ascii="Arial" w:eastAsia="Arial" w:hAnsi="Arial"/>
          <w:bCs w:val="0"/>
          <w:color w:val="800080"/>
        </w:rPr>
        <w:t>8</w:t>
      </w:r>
      <w:r w:rsidRPr="00775D4E">
        <w:rPr>
          <w:rFonts w:ascii="Arial" w:eastAsia="Arial" w:hAnsi="Arial"/>
          <w:bCs w:val="0"/>
          <w:color w:val="800080"/>
        </w:rPr>
        <w:t>. Incident reporting, near misses and learning</w:t>
      </w:r>
    </w:p>
    <w:p w14:paraId="31713D54" w14:textId="77777777" w:rsidR="00D624FE" w:rsidRDefault="00D624FE" w:rsidP="00D624FE">
      <w:r>
        <w:t>The school will record allergic reactions, suspected anaphylaxis, use of adrenaline auto-injectors, medication errors, catering errors, near misses and other allergy-related concerns.</w:t>
      </w:r>
    </w:p>
    <w:p w14:paraId="29AAA111" w14:textId="77777777" w:rsidR="00D624FE" w:rsidRDefault="00D624FE" w:rsidP="00D624FE">
      <w:r>
        <w:t>Parents/carers will be informed as soon as practicable where their child has experienced an allergic reaction, suspected anaphylaxis, use of emergency medication or a significant allergy-related near miss.</w:t>
      </w:r>
    </w:p>
    <w:p w14:paraId="0AF57C08" w14:textId="77777777" w:rsidR="00575B1D" w:rsidRDefault="00575B1D" w:rsidP="00D624FE">
      <w:r w:rsidRPr="00575B1D">
        <w:t>The school will ensure that pupils, parents/carers and, where relevant, healthcare professionals can report allergy-related incidents or near misses, including concerns identified after the end of the school day where exposure to the allergen could reasonably have occurred at school or during a school-arranged activity.</w:t>
      </w:r>
    </w:p>
    <w:p w14:paraId="14A844FC" w14:textId="433CB4EB" w:rsidR="00D624FE" w:rsidRDefault="00D624FE" w:rsidP="00D624FE">
      <w:r>
        <w:t>Allergy-related incidents and near misses will be reviewed by the named allergy and anaphylaxis lead, or another appropriate member of staff, and reported to the headteacher or principal where appropriate. Significant incidents will be shared with governors or trustees in line with the school’s reporting arrangements.</w:t>
      </w:r>
    </w:p>
    <w:p w14:paraId="2AFC18B8" w14:textId="77777777" w:rsidR="00D624FE" w:rsidRDefault="00D624FE" w:rsidP="00D624FE">
      <w:r>
        <w:t xml:space="preserve">The review will </w:t>
      </w:r>
      <w:proofErr w:type="gramStart"/>
      <w:r>
        <w:t>consider,</w:t>
      </w:r>
      <w:proofErr w:type="gramEnd"/>
      <w:r>
        <w:t xml:space="preserve"> where relevant:</w:t>
      </w:r>
    </w:p>
    <w:p w14:paraId="3E48C1F6" w14:textId="5653E6E2" w:rsidR="00D624FE" w:rsidRDefault="00D624FE" w:rsidP="00777461">
      <w:pPr>
        <w:pStyle w:val="ListParagraph"/>
        <w:numPr>
          <w:ilvl w:val="0"/>
          <w:numId w:val="20"/>
        </w:numPr>
      </w:pPr>
      <w:r>
        <w:t>what happened and where</w:t>
      </w:r>
    </w:p>
    <w:p w14:paraId="0845DD93" w14:textId="62BCA2F3" w:rsidR="00D624FE" w:rsidRDefault="00D624FE" w:rsidP="00777461">
      <w:pPr>
        <w:pStyle w:val="ListParagraph"/>
        <w:numPr>
          <w:ilvl w:val="0"/>
          <w:numId w:val="20"/>
        </w:numPr>
      </w:pPr>
      <w:r>
        <w:t>whether the pupil’s Allergy Action Plan, Individual Healthcare Plan or Individual Allergy Risk Assessment was followed</w:t>
      </w:r>
    </w:p>
    <w:p w14:paraId="7B5216C2" w14:textId="4DC76AAA" w:rsidR="00D624FE" w:rsidRDefault="00D624FE" w:rsidP="00777461">
      <w:pPr>
        <w:pStyle w:val="ListParagraph"/>
        <w:numPr>
          <w:ilvl w:val="0"/>
          <w:numId w:val="20"/>
        </w:numPr>
      </w:pPr>
      <w:r>
        <w:t>whether medication was available and accessible without delay</w:t>
      </w:r>
    </w:p>
    <w:p w14:paraId="173FFFD3" w14:textId="2D76972E" w:rsidR="00D624FE" w:rsidRDefault="00D624FE" w:rsidP="00777461">
      <w:pPr>
        <w:pStyle w:val="ListParagraph"/>
        <w:numPr>
          <w:ilvl w:val="0"/>
          <w:numId w:val="20"/>
        </w:numPr>
      </w:pPr>
      <w:r>
        <w:t>whether staff responded promptly and effectively</w:t>
      </w:r>
    </w:p>
    <w:p w14:paraId="0D45F222" w14:textId="1733D5F6" w:rsidR="00D624FE" w:rsidRDefault="00D624FE" w:rsidP="00777461">
      <w:pPr>
        <w:pStyle w:val="ListParagraph"/>
        <w:numPr>
          <w:ilvl w:val="0"/>
          <w:numId w:val="20"/>
        </w:numPr>
      </w:pPr>
      <w:r>
        <w:t>whether communication arrangements worked</w:t>
      </w:r>
    </w:p>
    <w:p w14:paraId="4F66C9D5" w14:textId="3DD9FCD1" w:rsidR="00D624FE" w:rsidRDefault="00D624FE" w:rsidP="00777461">
      <w:pPr>
        <w:pStyle w:val="ListParagraph"/>
        <w:numPr>
          <w:ilvl w:val="0"/>
          <w:numId w:val="20"/>
        </w:numPr>
      </w:pPr>
      <w:r>
        <w:t>whether catering, activity, supervision or visit arrangements need to change</w:t>
      </w:r>
    </w:p>
    <w:p w14:paraId="3559D529" w14:textId="6E0A987C" w:rsidR="00D624FE" w:rsidRDefault="00D624FE" w:rsidP="00777461">
      <w:pPr>
        <w:pStyle w:val="ListParagraph"/>
        <w:numPr>
          <w:ilvl w:val="0"/>
          <w:numId w:val="20"/>
        </w:numPr>
      </w:pPr>
      <w:r>
        <w:t>whether further staff training or parent/carer communication is required</w:t>
      </w:r>
    </w:p>
    <w:p w14:paraId="52534522" w14:textId="3F683A89" w:rsidR="00D624FE" w:rsidRDefault="00D624FE" w:rsidP="00777461">
      <w:pPr>
        <w:pStyle w:val="ListParagraph"/>
        <w:numPr>
          <w:ilvl w:val="0"/>
          <w:numId w:val="20"/>
        </w:numPr>
      </w:pPr>
      <w:proofErr w:type="gramStart"/>
      <w:r>
        <w:t>whether</w:t>
      </w:r>
      <w:proofErr w:type="gramEnd"/>
      <w:r>
        <w:t xml:space="preserve"> individual plans, risk assessments or this policy need to be reviewed.</w:t>
      </w:r>
    </w:p>
    <w:p w14:paraId="43AF4142" w14:textId="77777777" w:rsidR="008328D8" w:rsidRPr="008328D8" w:rsidRDefault="008328D8" w:rsidP="008328D8">
      <w:pPr>
        <w:pStyle w:val="Heading1"/>
        <w:spacing w:before="240" w:line="360" w:lineRule="auto"/>
        <w:rPr>
          <w:rFonts w:ascii="Arial" w:eastAsia="Arial" w:hAnsi="Arial" w:cstheme="minorBidi"/>
          <w:b w:val="0"/>
          <w:bCs w:val="0"/>
          <w:color w:val="auto"/>
          <w:szCs w:val="22"/>
        </w:rPr>
      </w:pPr>
      <w:r w:rsidRPr="008328D8">
        <w:rPr>
          <w:rFonts w:ascii="Arial" w:eastAsia="Arial" w:hAnsi="Arial" w:cstheme="minorBidi"/>
          <w:b w:val="0"/>
          <w:bCs w:val="0"/>
          <w:color w:val="auto"/>
          <w:szCs w:val="22"/>
        </w:rPr>
        <w:t>Learning from incidents and near misses will be used to improve allergy safety arrangements. Reporting under the Reporting of Injuries, Diseases and Dangerous Occurrences Regulations 2013 (RIDDOR), food safety reporting, safeguarding action, healthcare professional advice or notification to the employer will be considered where relevant.</w:t>
      </w:r>
    </w:p>
    <w:p w14:paraId="681D269F" w14:textId="77777777" w:rsidR="008328D8" w:rsidRDefault="008328D8" w:rsidP="008328D8">
      <w:pPr>
        <w:pStyle w:val="Heading1"/>
        <w:spacing w:before="240" w:line="360" w:lineRule="auto"/>
        <w:rPr>
          <w:rFonts w:ascii="Arial" w:eastAsia="Arial" w:hAnsi="Arial" w:cstheme="minorBidi"/>
          <w:b w:val="0"/>
          <w:bCs w:val="0"/>
          <w:color w:val="auto"/>
          <w:szCs w:val="22"/>
        </w:rPr>
      </w:pPr>
      <w:r w:rsidRPr="008328D8">
        <w:rPr>
          <w:rFonts w:ascii="Arial" w:eastAsia="Arial" w:hAnsi="Arial" w:cstheme="minorBidi"/>
          <w:b w:val="0"/>
          <w:bCs w:val="0"/>
          <w:color w:val="auto"/>
          <w:szCs w:val="22"/>
        </w:rPr>
        <w:t xml:space="preserve">The school should seek advice from Derbyshire County Council Health, Safety and Wellbeing, or the employer’s competent health and safety adviser, where there is uncertainty about whether an allergy-related incident is reportable under RIDDOR. A report may need to be considered where the incident arises out of, or in connection with, </w:t>
      </w:r>
      <w:proofErr w:type="gramStart"/>
      <w:r w:rsidRPr="008328D8">
        <w:rPr>
          <w:rFonts w:ascii="Arial" w:eastAsia="Arial" w:hAnsi="Arial" w:cstheme="minorBidi"/>
          <w:b w:val="0"/>
          <w:bCs w:val="0"/>
          <w:color w:val="auto"/>
          <w:szCs w:val="22"/>
        </w:rPr>
        <w:t>school work</w:t>
      </w:r>
      <w:proofErr w:type="gramEnd"/>
      <w:r w:rsidRPr="008328D8">
        <w:rPr>
          <w:rFonts w:ascii="Arial" w:eastAsia="Arial" w:hAnsi="Arial" w:cstheme="minorBidi"/>
          <w:b w:val="0"/>
          <w:bCs w:val="0"/>
          <w:color w:val="auto"/>
          <w:szCs w:val="22"/>
        </w:rPr>
        <w:t xml:space="preserve"> activities and results in a reportable injury, dangerous occurrence or other reportable outcome. Not every allergic reaction, administration of adrenaline or use of an AAI will be reportable under RIDDOR.</w:t>
      </w:r>
    </w:p>
    <w:p w14:paraId="1BCE2ABE" w14:textId="250912A6" w:rsidR="00AB66DB" w:rsidRPr="00775D4E" w:rsidRDefault="00D03085" w:rsidP="008328D8">
      <w:pPr>
        <w:pStyle w:val="Heading1"/>
        <w:spacing w:before="240" w:line="360" w:lineRule="auto"/>
        <w:rPr>
          <w:bCs w:val="0"/>
          <w:color w:val="800080"/>
        </w:rPr>
      </w:pPr>
      <w:r w:rsidRPr="00775D4E">
        <w:rPr>
          <w:rFonts w:ascii="Arial" w:eastAsia="Arial" w:hAnsi="Arial"/>
          <w:bCs w:val="0"/>
          <w:color w:val="800080"/>
        </w:rPr>
        <w:t>1</w:t>
      </w:r>
      <w:r w:rsidR="00D14F3F">
        <w:rPr>
          <w:rFonts w:ascii="Arial" w:eastAsia="Arial" w:hAnsi="Arial"/>
          <w:bCs w:val="0"/>
          <w:color w:val="800080"/>
        </w:rPr>
        <w:t>9</w:t>
      </w:r>
      <w:r w:rsidRPr="00775D4E">
        <w:rPr>
          <w:rFonts w:ascii="Arial" w:eastAsia="Arial" w:hAnsi="Arial"/>
          <w:bCs w:val="0"/>
          <w:color w:val="800080"/>
        </w:rPr>
        <w:t>. Communication with parents, pupils and staff</w:t>
      </w:r>
    </w:p>
    <w:p w14:paraId="3DAE26B9" w14:textId="77777777" w:rsidR="00593A6D" w:rsidRDefault="00593A6D" w:rsidP="00593A6D">
      <w:r>
        <w:t>The school will communicate allergy arrangements to staff, pupils and parents/carers in a way that is appropriate to the school’s local arrangements. This may include the school website, parent communications, staff briefings, induction, training, pupil assemblies, PSHE, catering information and individual meetings.</w:t>
      </w:r>
    </w:p>
    <w:p w14:paraId="573728BD" w14:textId="77777777" w:rsidR="00593A6D" w:rsidRDefault="00593A6D" w:rsidP="00593A6D">
      <w:r>
        <w:t>The school will ensure this policy is published, accessible to staff and parents/carers, and brought to the attention of relevant staff at least annually.</w:t>
      </w:r>
    </w:p>
    <w:p w14:paraId="229B4B58" w14:textId="77777777" w:rsidR="00593A6D" w:rsidRDefault="00593A6D" w:rsidP="00593A6D">
      <w:r>
        <w:t xml:space="preserve">Relevant information about pupils with allergies will be shared with staff who need it to keep pupils safe and support their participation in school life. Information will be shared in a controlled and proportionate way, taking account </w:t>
      </w:r>
      <w:proofErr w:type="gramStart"/>
      <w:r>
        <w:t>of</w:t>
      </w:r>
      <w:proofErr w:type="gramEnd"/>
      <w:r>
        <w:t xml:space="preserve"> confidentiality and data protection requirements.</w:t>
      </w:r>
    </w:p>
    <w:p w14:paraId="14A0A8C7" w14:textId="77777777" w:rsidR="00593A6D" w:rsidRDefault="00593A6D" w:rsidP="00593A6D">
      <w:r>
        <w:t>Parents/carers are responsible for providing accurate and timely information about their child’s allergy, medication, emergency arrangements and any changes. Parents/carers are also asked to support reasonable allergy safety arrangements communicated by the school.</w:t>
      </w:r>
    </w:p>
    <w:p w14:paraId="31BB4893" w14:textId="6E55DDF2" w:rsidR="00593A6D" w:rsidRDefault="00593A6D" w:rsidP="00593A6D">
      <w:r>
        <w:t>Where appropriate, pupils will be supported to understand allergy safety arrangements, including how to seek help, how to act safely around pupils with allergies, and why food or medication should not be shared.</w:t>
      </w:r>
    </w:p>
    <w:p w14:paraId="1A05E6CE" w14:textId="1B31D620" w:rsidR="00AB66DB" w:rsidRPr="00775D4E" w:rsidRDefault="00D14F3F" w:rsidP="008D3D80">
      <w:pPr>
        <w:pStyle w:val="Heading1"/>
        <w:spacing w:before="240" w:line="360" w:lineRule="auto"/>
        <w:rPr>
          <w:bCs w:val="0"/>
          <w:color w:val="800080"/>
        </w:rPr>
      </w:pPr>
      <w:r>
        <w:rPr>
          <w:rFonts w:ascii="Arial" w:eastAsia="Arial" w:hAnsi="Arial"/>
          <w:bCs w:val="0"/>
          <w:color w:val="800080"/>
        </w:rPr>
        <w:t>20</w:t>
      </w:r>
      <w:r w:rsidR="00D03085" w:rsidRPr="00775D4E">
        <w:rPr>
          <w:rFonts w:ascii="Arial" w:eastAsia="Arial" w:hAnsi="Arial"/>
          <w:bCs w:val="0"/>
          <w:color w:val="800080"/>
        </w:rPr>
        <w:t>. Monitoring and review</w:t>
      </w:r>
    </w:p>
    <w:p w14:paraId="2831E75B" w14:textId="66687752" w:rsidR="009B33A4" w:rsidRPr="009B33A4" w:rsidRDefault="009B33A4" w:rsidP="009B33A4">
      <w:pPr>
        <w:rPr>
          <w:lang w:val="en-GB"/>
        </w:rPr>
      </w:pPr>
      <w:r>
        <w:rPr>
          <w:lang w:val="en-GB"/>
        </w:rPr>
        <w:t>T</w:t>
      </w:r>
      <w:r w:rsidRPr="009B33A4">
        <w:rPr>
          <w:lang w:val="en-GB"/>
        </w:rPr>
        <w:t>his policy will be published, kept under review and reviewed at least annually. It will also be reviewed sooner where there is a serious allergic reaction, allergy-related serious incident, significant near miss, change in statutory requirements, national guidance or local allergy management arrangements.</w:t>
      </w:r>
    </w:p>
    <w:p w14:paraId="1F4672E1" w14:textId="77777777" w:rsidR="009B33A4" w:rsidRPr="009B33A4" w:rsidRDefault="009B33A4" w:rsidP="009B33A4">
      <w:pPr>
        <w:rPr>
          <w:lang w:val="en-GB"/>
        </w:rPr>
      </w:pPr>
      <w:r w:rsidRPr="009B33A4">
        <w:rPr>
          <w:lang w:val="en-GB"/>
        </w:rPr>
        <w:t>The review will consider, where relevant:</w:t>
      </w:r>
    </w:p>
    <w:p w14:paraId="7FDFB308" w14:textId="7422FAD4" w:rsidR="009B33A4" w:rsidRPr="009B33A4" w:rsidRDefault="009B33A4" w:rsidP="00777461">
      <w:pPr>
        <w:pStyle w:val="ListParagraph"/>
        <w:numPr>
          <w:ilvl w:val="0"/>
          <w:numId w:val="21"/>
        </w:numPr>
        <w:rPr>
          <w:lang w:val="en-GB"/>
        </w:rPr>
      </w:pPr>
      <w:r w:rsidRPr="009B33A4">
        <w:rPr>
          <w:lang w:val="en-GB"/>
        </w:rPr>
        <w:t>training records and refresher training</w:t>
      </w:r>
    </w:p>
    <w:p w14:paraId="43E44918" w14:textId="51F9CEE2" w:rsidR="009B33A4" w:rsidRPr="009B33A4" w:rsidRDefault="009B33A4" w:rsidP="00777461">
      <w:pPr>
        <w:pStyle w:val="ListParagraph"/>
        <w:numPr>
          <w:ilvl w:val="0"/>
          <w:numId w:val="21"/>
        </w:numPr>
        <w:rPr>
          <w:lang w:val="en-GB"/>
        </w:rPr>
      </w:pPr>
      <w:r w:rsidRPr="009B33A4">
        <w:rPr>
          <w:lang w:val="en-GB"/>
        </w:rPr>
        <w:t>medication and spare AAI checks</w:t>
      </w:r>
    </w:p>
    <w:p w14:paraId="27D4FC0E" w14:textId="05BFFF69" w:rsidR="009B33A4" w:rsidRPr="009B33A4" w:rsidRDefault="009B33A4" w:rsidP="00777461">
      <w:pPr>
        <w:pStyle w:val="ListParagraph"/>
        <w:numPr>
          <w:ilvl w:val="0"/>
          <w:numId w:val="21"/>
        </w:numPr>
        <w:rPr>
          <w:lang w:val="en-GB"/>
        </w:rPr>
      </w:pPr>
      <w:r w:rsidRPr="009B33A4">
        <w:rPr>
          <w:lang w:val="en-GB"/>
        </w:rPr>
        <w:t>allergy register arrangements</w:t>
      </w:r>
    </w:p>
    <w:p w14:paraId="30D672DD" w14:textId="4895DB04" w:rsidR="009B33A4" w:rsidRPr="009B33A4" w:rsidRDefault="009B33A4" w:rsidP="00777461">
      <w:pPr>
        <w:pStyle w:val="ListParagraph"/>
        <w:numPr>
          <w:ilvl w:val="0"/>
          <w:numId w:val="21"/>
        </w:numPr>
        <w:rPr>
          <w:lang w:val="en-GB"/>
        </w:rPr>
      </w:pPr>
      <w:r w:rsidRPr="009B33A4">
        <w:rPr>
          <w:lang w:val="en-GB"/>
        </w:rPr>
        <w:t>incident and near miss learning</w:t>
      </w:r>
    </w:p>
    <w:p w14:paraId="2E015098" w14:textId="6FD52BBF" w:rsidR="009B33A4" w:rsidRPr="009B33A4" w:rsidRDefault="009B33A4" w:rsidP="00777461">
      <w:pPr>
        <w:pStyle w:val="ListParagraph"/>
        <w:numPr>
          <w:ilvl w:val="0"/>
          <w:numId w:val="21"/>
        </w:numPr>
        <w:rPr>
          <w:lang w:val="en-GB"/>
        </w:rPr>
      </w:pPr>
      <w:r w:rsidRPr="009B33A4">
        <w:rPr>
          <w:lang w:val="en-GB"/>
        </w:rPr>
        <w:t>parent/carer, pupil or staff feedback</w:t>
      </w:r>
    </w:p>
    <w:p w14:paraId="037D9590" w14:textId="2DA89102" w:rsidR="009B33A4" w:rsidRPr="009B33A4" w:rsidRDefault="009B33A4" w:rsidP="00777461">
      <w:pPr>
        <w:pStyle w:val="ListParagraph"/>
        <w:numPr>
          <w:ilvl w:val="0"/>
          <w:numId w:val="21"/>
        </w:numPr>
        <w:rPr>
          <w:lang w:val="en-GB"/>
        </w:rPr>
      </w:pPr>
      <w:r w:rsidRPr="009B33A4">
        <w:rPr>
          <w:lang w:val="en-GB"/>
        </w:rPr>
        <w:t>catering and food allergen arrangements</w:t>
      </w:r>
    </w:p>
    <w:p w14:paraId="03DF6D96" w14:textId="3E4BDBD1" w:rsidR="009B33A4" w:rsidRPr="009B33A4" w:rsidRDefault="009B33A4" w:rsidP="00777461">
      <w:pPr>
        <w:pStyle w:val="ListParagraph"/>
        <w:numPr>
          <w:ilvl w:val="0"/>
          <w:numId w:val="21"/>
        </w:numPr>
        <w:rPr>
          <w:lang w:val="en-GB"/>
        </w:rPr>
      </w:pPr>
      <w:r w:rsidRPr="009B33A4">
        <w:rPr>
          <w:lang w:val="en-GB"/>
        </w:rPr>
        <w:t>educational visits, clubs and school activity arrangements</w:t>
      </w:r>
    </w:p>
    <w:p w14:paraId="2D7BD6C7" w14:textId="00593575" w:rsidR="009B33A4" w:rsidRPr="009B33A4" w:rsidRDefault="009B33A4" w:rsidP="00777461">
      <w:pPr>
        <w:pStyle w:val="ListParagraph"/>
        <w:numPr>
          <w:ilvl w:val="0"/>
          <w:numId w:val="21"/>
        </w:numPr>
        <w:rPr>
          <w:lang w:val="en-GB"/>
        </w:rPr>
      </w:pPr>
      <w:r w:rsidRPr="009B33A4">
        <w:rPr>
          <w:lang w:val="en-GB"/>
        </w:rPr>
        <w:t>the effectiveness of Allergy Action Plans, Individual Healthcare Plans and Individual Allergy Risk Assessments.</w:t>
      </w:r>
    </w:p>
    <w:p w14:paraId="64098FE8" w14:textId="1CFA2486" w:rsidR="00F52B4A" w:rsidRDefault="009B33A4" w:rsidP="009B33A4">
      <w:pPr>
        <w:rPr>
          <w:lang w:val="en-GB"/>
        </w:rPr>
      </w:pPr>
      <w:r w:rsidRPr="009B33A4">
        <w:rPr>
          <w:lang w:val="en-GB"/>
        </w:rPr>
        <w:t>Any changes needed following review will be recorded and communicated to relevant staff, parents/carers and pupils where appropriate.</w:t>
      </w:r>
    </w:p>
    <w:p w14:paraId="3B61959A" w14:textId="77777777" w:rsidR="006A3AE1" w:rsidRPr="009B33A4" w:rsidRDefault="006A3AE1" w:rsidP="009B33A4">
      <w:pPr>
        <w:rPr>
          <w:b/>
          <w:color w:val="000000" w:themeColor="text1"/>
        </w:rPr>
      </w:pPr>
    </w:p>
    <w:sectPr w:rsidR="006A3AE1" w:rsidRPr="009B33A4" w:rsidSect="00554355">
      <w:footerReference w:type="default" r:id="rId15"/>
      <w:footerReference w:type="first" r:id="rId16"/>
      <w:pgSz w:w="12240" w:h="15840"/>
      <w:pgMar w:top="1134" w:right="1134" w:bottom="1134" w:left="1134"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5AD6F" w14:textId="77777777" w:rsidR="00362830" w:rsidRDefault="00362830">
      <w:pPr>
        <w:spacing w:after="0" w:line="240" w:lineRule="auto"/>
      </w:pPr>
      <w:r>
        <w:separator/>
      </w:r>
    </w:p>
  </w:endnote>
  <w:endnote w:type="continuationSeparator" w:id="0">
    <w:p w14:paraId="16719316" w14:textId="77777777" w:rsidR="00362830" w:rsidRDefault="003628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AE651" w14:textId="77777777" w:rsidR="00B55F69" w:rsidRDefault="00B55F69" w:rsidP="00554355">
    <w:pPr>
      <w:pStyle w:val="Footer"/>
      <w:tabs>
        <w:tab w:val="left" w:pos="8882"/>
      </w:tabs>
      <w:rPr>
        <w:sz w:val="16"/>
        <w:szCs w:val="16"/>
      </w:rPr>
    </w:pPr>
  </w:p>
  <w:p w14:paraId="2733BE98" w14:textId="4D813217" w:rsidR="003109EE" w:rsidRDefault="00554355" w:rsidP="00554355">
    <w:pPr>
      <w:pStyle w:val="Footer"/>
      <w:tabs>
        <w:tab w:val="left" w:pos="8882"/>
      </w:tabs>
    </w:pPr>
    <w:r w:rsidRPr="00D75BDC">
      <w:rPr>
        <w:sz w:val="16"/>
        <w:szCs w:val="16"/>
      </w:rPr>
      <w:t xml:space="preserve">Model Allergy and Anaphylaxis Policy for Schools </w:t>
    </w:r>
    <w:r w:rsidR="001B27C6" w:rsidRPr="001B27C6">
      <w:rPr>
        <w:rFonts w:cs="Arial"/>
        <w:sz w:val="16"/>
        <w:szCs w:val="16"/>
      </w:rPr>
      <w:t>2026.08 V01</w:t>
    </w:r>
    <w:r w:rsidR="00C364AF">
      <w:rPr>
        <w:sz w:val="16"/>
        <w:szCs w:val="16"/>
      </w:rPr>
      <w:tab/>
    </w:r>
    <w:r>
      <w:rPr>
        <w:sz w:val="16"/>
        <w:szCs w:val="16"/>
      </w:rPr>
      <w:tab/>
    </w:r>
    <w:sdt>
      <w:sdtPr>
        <w:rPr>
          <w:sz w:val="16"/>
          <w:szCs w:val="14"/>
        </w:rPr>
        <w:id w:val="2052184334"/>
        <w:docPartObj>
          <w:docPartGallery w:val="Page Numbers (Bottom of Page)"/>
          <w:docPartUnique/>
        </w:docPartObj>
      </w:sdtPr>
      <w:sdtEndPr/>
      <w:sdtContent>
        <w:r w:rsidR="003109EE" w:rsidRPr="00554355">
          <w:rPr>
            <w:sz w:val="16"/>
            <w:szCs w:val="14"/>
          </w:rPr>
          <w:fldChar w:fldCharType="begin"/>
        </w:r>
        <w:r w:rsidR="003109EE" w:rsidRPr="00554355">
          <w:rPr>
            <w:sz w:val="16"/>
            <w:szCs w:val="14"/>
          </w:rPr>
          <w:instrText>PAGE   \* MERGEFORMAT</w:instrText>
        </w:r>
        <w:r w:rsidR="003109EE" w:rsidRPr="00554355">
          <w:rPr>
            <w:sz w:val="16"/>
            <w:szCs w:val="14"/>
          </w:rPr>
          <w:fldChar w:fldCharType="separate"/>
        </w:r>
        <w:r w:rsidR="003109EE" w:rsidRPr="00554355">
          <w:rPr>
            <w:sz w:val="16"/>
            <w:szCs w:val="14"/>
            <w:lang w:val="en-GB"/>
          </w:rPr>
          <w:t>2</w:t>
        </w:r>
        <w:r w:rsidR="003109EE" w:rsidRPr="00554355">
          <w:rPr>
            <w:sz w:val="16"/>
            <w:szCs w:val="14"/>
          </w:rPr>
          <w:fldChar w:fldCharType="end"/>
        </w:r>
      </w:sdtContent>
    </w:sdt>
  </w:p>
  <w:p w14:paraId="399509E9" w14:textId="0DEBB963" w:rsidR="00170E46" w:rsidRPr="00AF00EE" w:rsidRDefault="00170E46" w:rsidP="00526E50">
    <w:pPr>
      <w:pStyle w:val="Footer"/>
      <w:tabs>
        <w:tab w:val="left" w:pos="8882"/>
      </w:tabs>
      <w:rPr>
        <w:rFonts w:cs="Arial"/>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0C890" w14:textId="6E110967" w:rsidR="00170E46" w:rsidRPr="00BB0D4E" w:rsidRDefault="00BB0D4E" w:rsidP="00BB0D4E">
    <w:pPr>
      <w:pStyle w:val="Footer"/>
      <w:jc w:val="right"/>
      <w:rPr>
        <w:sz w:val="20"/>
        <w:szCs w:val="20"/>
      </w:rPr>
    </w:pPr>
    <w:proofErr w:type="spellStart"/>
    <w:proofErr w:type="gramStart"/>
    <w:r w:rsidRPr="00BB0D4E">
      <w:rPr>
        <w:sz w:val="20"/>
        <w:szCs w:val="20"/>
      </w:rPr>
      <w:t>St.John’s</w:t>
    </w:r>
    <w:proofErr w:type="spellEnd"/>
    <w:proofErr w:type="gramEnd"/>
    <w:r w:rsidRPr="00BB0D4E">
      <w:rPr>
        <w:sz w:val="20"/>
        <w:szCs w:val="20"/>
      </w:rPr>
      <w:t xml:space="preserve"> CE Primary School &amp; Nursery - </w:t>
    </w:r>
    <w:r w:rsidR="00170E46" w:rsidRPr="00BB0D4E">
      <w:rPr>
        <w:sz w:val="20"/>
        <w:szCs w:val="20"/>
      </w:rPr>
      <w:t xml:space="preserve">Allergy and Anaphylaxis Policy </w:t>
    </w:r>
    <w:r w:rsidRPr="00BB0D4E">
      <w:rPr>
        <w:sz w:val="20"/>
        <w:szCs w:val="20"/>
      </w:rPr>
      <w:t>–</w:t>
    </w:r>
    <w:r w:rsidR="00170E46" w:rsidRPr="00BB0D4E">
      <w:rPr>
        <w:sz w:val="20"/>
        <w:szCs w:val="20"/>
      </w:rPr>
      <w:t xml:space="preserve"> </w:t>
    </w:r>
    <w:r w:rsidRPr="00BB0D4E">
      <w:rPr>
        <w:sz w:val="20"/>
        <w:szCs w:val="20"/>
      </w:rPr>
      <w:t xml:space="preserve">September </w:t>
    </w:r>
    <w:r w:rsidR="00170E46" w:rsidRPr="00BB0D4E">
      <w:rPr>
        <w:sz w:val="20"/>
        <w:szCs w:val="20"/>
      </w:rPr>
      <w:t>2026 V01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5C450" w14:textId="77777777" w:rsidR="00362830" w:rsidRDefault="00362830">
      <w:pPr>
        <w:spacing w:after="0" w:line="240" w:lineRule="auto"/>
      </w:pPr>
      <w:r>
        <w:separator/>
      </w:r>
    </w:p>
  </w:footnote>
  <w:footnote w:type="continuationSeparator" w:id="0">
    <w:p w14:paraId="7C4FC8E2" w14:textId="77777777" w:rsidR="00362830" w:rsidRDefault="003628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B7A834C"/>
    <w:lvl w:ilvl="0">
      <w:start w:val="1"/>
      <w:numFmt w:val="decimal"/>
      <w:pStyle w:val="ListNumber"/>
      <w:lvlText w:val="%1."/>
      <w:lvlJc w:val="left"/>
      <w:pPr>
        <w:tabs>
          <w:tab w:val="num" w:pos="502"/>
        </w:tabs>
        <w:ind w:left="502" w:hanging="360"/>
      </w:pPr>
      <w:rPr>
        <w:b w:val="0"/>
        <w:bCs w:val="0"/>
        <w:color w:val="auto"/>
      </w:r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12D4B35"/>
    <w:multiLevelType w:val="hybridMultilevel"/>
    <w:tmpl w:val="B18E0BB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20F2BF3"/>
    <w:multiLevelType w:val="hybridMultilevel"/>
    <w:tmpl w:val="88F6B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4E531E"/>
    <w:multiLevelType w:val="hybridMultilevel"/>
    <w:tmpl w:val="C93467E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109D12D3"/>
    <w:multiLevelType w:val="hybridMultilevel"/>
    <w:tmpl w:val="CB2C0B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31841B1"/>
    <w:multiLevelType w:val="hybridMultilevel"/>
    <w:tmpl w:val="4154C586"/>
    <w:lvl w:ilvl="0" w:tplc="1DD4A246">
      <w:start w:val="1"/>
      <w:numFmt w:val="decimal"/>
      <w:lvlText w:val="%1."/>
      <w:lvlJc w:val="left"/>
      <w:pPr>
        <w:ind w:left="786" w:hanging="360"/>
      </w:pPr>
      <w:rPr>
        <w:b w:val="0"/>
        <w:bCs w:val="0"/>
        <w:i w:val="0"/>
        <w:iCs w:val="0"/>
        <w:color w:val="276E8B" w:themeColor="accent1" w:themeShade="BF"/>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20F340DC"/>
    <w:multiLevelType w:val="hybridMultilevel"/>
    <w:tmpl w:val="FE406DD2"/>
    <w:lvl w:ilvl="0" w:tplc="08090001">
      <w:start w:val="1"/>
      <w:numFmt w:val="bullet"/>
      <w:lvlText w:val=""/>
      <w:lvlJc w:val="left"/>
      <w:pPr>
        <w:ind w:left="720" w:hanging="360"/>
      </w:pPr>
      <w:rPr>
        <w:rFonts w:ascii="Symbol" w:hAnsi="Symbol" w:hint="default"/>
      </w:rPr>
    </w:lvl>
    <w:lvl w:ilvl="1" w:tplc="78E456D0">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FE2877"/>
    <w:multiLevelType w:val="hybridMultilevel"/>
    <w:tmpl w:val="446EB66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265E2DA3"/>
    <w:multiLevelType w:val="hybridMultilevel"/>
    <w:tmpl w:val="248687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B895156"/>
    <w:multiLevelType w:val="hybridMultilevel"/>
    <w:tmpl w:val="0A7C7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3937E6"/>
    <w:multiLevelType w:val="hybridMultilevel"/>
    <w:tmpl w:val="4EE403B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30642691"/>
    <w:multiLevelType w:val="hybridMultilevel"/>
    <w:tmpl w:val="81761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BA77D3"/>
    <w:multiLevelType w:val="hybridMultilevel"/>
    <w:tmpl w:val="648AA1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7F850DA"/>
    <w:multiLevelType w:val="hybridMultilevel"/>
    <w:tmpl w:val="EF5C26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8FE2BD3"/>
    <w:multiLevelType w:val="hybridMultilevel"/>
    <w:tmpl w:val="F4A2B4F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6A922854"/>
    <w:multiLevelType w:val="hybridMultilevel"/>
    <w:tmpl w:val="D5FA9A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57C5DD2"/>
    <w:multiLevelType w:val="hybridMultilevel"/>
    <w:tmpl w:val="387C4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5414734">
    <w:abstractNumId w:val="5"/>
  </w:num>
  <w:num w:numId="2" w16cid:durableId="1422216325">
    <w:abstractNumId w:val="3"/>
  </w:num>
  <w:num w:numId="3" w16cid:durableId="1387803724">
    <w:abstractNumId w:val="2"/>
  </w:num>
  <w:num w:numId="4" w16cid:durableId="1137987944">
    <w:abstractNumId w:val="4"/>
  </w:num>
  <w:num w:numId="5" w16cid:durableId="436754586">
    <w:abstractNumId w:val="1"/>
  </w:num>
  <w:num w:numId="6" w16cid:durableId="490294153">
    <w:abstractNumId w:val="0"/>
  </w:num>
  <w:num w:numId="7" w16cid:durableId="435564501">
    <w:abstractNumId w:val="14"/>
  </w:num>
  <w:num w:numId="8" w16cid:durableId="196629076">
    <w:abstractNumId w:val="11"/>
  </w:num>
  <w:num w:numId="9" w16cid:durableId="1877546404">
    <w:abstractNumId w:val="6"/>
  </w:num>
  <w:num w:numId="10" w16cid:durableId="1825197670">
    <w:abstractNumId w:val="20"/>
  </w:num>
  <w:num w:numId="11" w16cid:durableId="393164587">
    <w:abstractNumId w:val="13"/>
  </w:num>
  <w:num w:numId="12" w16cid:durableId="1099259366">
    <w:abstractNumId w:val="9"/>
  </w:num>
  <w:num w:numId="13" w16cid:durableId="78604874">
    <w:abstractNumId w:val="19"/>
  </w:num>
  <w:num w:numId="14" w16cid:durableId="1113473602">
    <w:abstractNumId w:val="10"/>
  </w:num>
  <w:num w:numId="15" w16cid:durableId="1757480000">
    <w:abstractNumId w:val="15"/>
  </w:num>
  <w:num w:numId="16" w16cid:durableId="1554386878">
    <w:abstractNumId w:val="12"/>
  </w:num>
  <w:num w:numId="17" w16cid:durableId="1113475830">
    <w:abstractNumId w:val="8"/>
  </w:num>
  <w:num w:numId="18" w16cid:durableId="2070222835">
    <w:abstractNumId w:val="7"/>
  </w:num>
  <w:num w:numId="19" w16cid:durableId="1562474989">
    <w:abstractNumId w:val="17"/>
  </w:num>
  <w:num w:numId="20" w16cid:durableId="583801703">
    <w:abstractNumId w:val="18"/>
  </w:num>
  <w:num w:numId="21" w16cid:durableId="1084885989">
    <w:abstractNumId w:val="21"/>
  </w:num>
  <w:num w:numId="22" w16cid:durableId="1277711149">
    <w:abstractNumId w:val="1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1215"/>
    <w:rsid w:val="0002294A"/>
    <w:rsid w:val="00022CB6"/>
    <w:rsid w:val="00024CFA"/>
    <w:rsid w:val="00025762"/>
    <w:rsid w:val="000313E4"/>
    <w:rsid w:val="00034616"/>
    <w:rsid w:val="00034C0C"/>
    <w:rsid w:val="00041881"/>
    <w:rsid w:val="00043238"/>
    <w:rsid w:val="00043827"/>
    <w:rsid w:val="000460E2"/>
    <w:rsid w:val="00055E3B"/>
    <w:rsid w:val="0005612B"/>
    <w:rsid w:val="00056EE9"/>
    <w:rsid w:val="00057F18"/>
    <w:rsid w:val="0006063C"/>
    <w:rsid w:val="00060772"/>
    <w:rsid w:val="00067FE3"/>
    <w:rsid w:val="00072416"/>
    <w:rsid w:val="00082704"/>
    <w:rsid w:val="00093B95"/>
    <w:rsid w:val="000A207D"/>
    <w:rsid w:val="000B14F2"/>
    <w:rsid w:val="000B3259"/>
    <w:rsid w:val="000B62E2"/>
    <w:rsid w:val="000C236B"/>
    <w:rsid w:val="000D34E1"/>
    <w:rsid w:val="000E759D"/>
    <w:rsid w:val="000F7E85"/>
    <w:rsid w:val="00105AC4"/>
    <w:rsid w:val="001164A7"/>
    <w:rsid w:val="00121CB8"/>
    <w:rsid w:val="00123644"/>
    <w:rsid w:val="001337EA"/>
    <w:rsid w:val="001346E2"/>
    <w:rsid w:val="00134A78"/>
    <w:rsid w:val="00140A65"/>
    <w:rsid w:val="00147AFC"/>
    <w:rsid w:val="0015074B"/>
    <w:rsid w:val="0015285E"/>
    <w:rsid w:val="001546A3"/>
    <w:rsid w:val="00155348"/>
    <w:rsid w:val="0016319B"/>
    <w:rsid w:val="00163880"/>
    <w:rsid w:val="001679B8"/>
    <w:rsid w:val="00170E46"/>
    <w:rsid w:val="00173AF5"/>
    <w:rsid w:val="00174CAF"/>
    <w:rsid w:val="0018001F"/>
    <w:rsid w:val="0018028C"/>
    <w:rsid w:val="0018670A"/>
    <w:rsid w:val="0018721C"/>
    <w:rsid w:val="001A7C99"/>
    <w:rsid w:val="001B27C6"/>
    <w:rsid w:val="001B7806"/>
    <w:rsid w:val="001C59AE"/>
    <w:rsid w:val="001D037B"/>
    <w:rsid w:val="001D7A0D"/>
    <w:rsid w:val="001E6231"/>
    <w:rsid w:val="001F05E9"/>
    <w:rsid w:val="001F13B5"/>
    <w:rsid w:val="001F4416"/>
    <w:rsid w:val="001F5FAA"/>
    <w:rsid w:val="001F6696"/>
    <w:rsid w:val="001F7E65"/>
    <w:rsid w:val="00200392"/>
    <w:rsid w:val="00201FD8"/>
    <w:rsid w:val="00202856"/>
    <w:rsid w:val="00206E3E"/>
    <w:rsid w:val="00217E59"/>
    <w:rsid w:val="00223409"/>
    <w:rsid w:val="00224297"/>
    <w:rsid w:val="00230556"/>
    <w:rsid w:val="002327B2"/>
    <w:rsid w:val="00244C22"/>
    <w:rsid w:val="002576F4"/>
    <w:rsid w:val="00262030"/>
    <w:rsid w:val="00262C27"/>
    <w:rsid w:val="00265B6A"/>
    <w:rsid w:val="00266031"/>
    <w:rsid w:val="002664BF"/>
    <w:rsid w:val="00267863"/>
    <w:rsid w:val="00271C6A"/>
    <w:rsid w:val="00273AC3"/>
    <w:rsid w:val="00276192"/>
    <w:rsid w:val="00276E97"/>
    <w:rsid w:val="00284B78"/>
    <w:rsid w:val="00294154"/>
    <w:rsid w:val="00294337"/>
    <w:rsid w:val="00294DA8"/>
    <w:rsid w:val="0029639D"/>
    <w:rsid w:val="002A03CE"/>
    <w:rsid w:val="002B03CC"/>
    <w:rsid w:val="002C7589"/>
    <w:rsid w:val="002D07F6"/>
    <w:rsid w:val="002D4A10"/>
    <w:rsid w:val="002D5003"/>
    <w:rsid w:val="002D6941"/>
    <w:rsid w:val="002D6F9F"/>
    <w:rsid w:val="002E006D"/>
    <w:rsid w:val="0030135D"/>
    <w:rsid w:val="003109EE"/>
    <w:rsid w:val="00311DE4"/>
    <w:rsid w:val="0032099A"/>
    <w:rsid w:val="003249CC"/>
    <w:rsid w:val="00326F90"/>
    <w:rsid w:val="00327642"/>
    <w:rsid w:val="00336356"/>
    <w:rsid w:val="003367EF"/>
    <w:rsid w:val="00340EA2"/>
    <w:rsid w:val="003431B2"/>
    <w:rsid w:val="00346B3A"/>
    <w:rsid w:val="00351130"/>
    <w:rsid w:val="003537C0"/>
    <w:rsid w:val="00353C09"/>
    <w:rsid w:val="003541F4"/>
    <w:rsid w:val="00354C5C"/>
    <w:rsid w:val="00360E65"/>
    <w:rsid w:val="00361DE4"/>
    <w:rsid w:val="00362830"/>
    <w:rsid w:val="003628EA"/>
    <w:rsid w:val="00365502"/>
    <w:rsid w:val="00366D77"/>
    <w:rsid w:val="003726C4"/>
    <w:rsid w:val="00376DD6"/>
    <w:rsid w:val="00384A45"/>
    <w:rsid w:val="0038672B"/>
    <w:rsid w:val="00391732"/>
    <w:rsid w:val="003932D0"/>
    <w:rsid w:val="00394228"/>
    <w:rsid w:val="00397914"/>
    <w:rsid w:val="003A167A"/>
    <w:rsid w:val="003A3A29"/>
    <w:rsid w:val="003B11A5"/>
    <w:rsid w:val="003C28AD"/>
    <w:rsid w:val="003C5359"/>
    <w:rsid w:val="003E157E"/>
    <w:rsid w:val="003E6AF5"/>
    <w:rsid w:val="003F57A3"/>
    <w:rsid w:val="004067B0"/>
    <w:rsid w:val="00410B66"/>
    <w:rsid w:val="00412BC7"/>
    <w:rsid w:val="004131B4"/>
    <w:rsid w:val="00422ACD"/>
    <w:rsid w:val="0042315E"/>
    <w:rsid w:val="00423545"/>
    <w:rsid w:val="00434438"/>
    <w:rsid w:val="00434619"/>
    <w:rsid w:val="00441C14"/>
    <w:rsid w:val="00442541"/>
    <w:rsid w:val="0044512D"/>
    <w:rsid w:val="004464C5"/>
    <w:rsid w:val="00457188"/>
    <w:rsid w:val="0046340C"/>
    <w:rsid w:val="004656D5"/>
    <w:rsid w:val="004708B2"/>
    <w:rsid w:val="00477E65"/>
    <w:rsid w:val="004817AC"/>
    <w:rsid w:val="00486399"/>
    <w:rsid w:val="004958BD"/>
    <w:rsid w:val="004A2934"/>
    <w:rsid w:val="004B3854"/>
    <w:rsid w:val="004C1DBC"/>
    <w:rsid w:val="004C2CBD"/>
    <w:rsid w:val="004C309B"/>
    <w:rsid w:val="004C3944"/>
    <w:rsid w:val="004C4E0B"/>
    <w:rsid w:val="004C6698"/>
    <w:rsid w:val="004D107A"/>
    <w:rsid w:val="004D640E"/>
    <w:rsid w:val="004E2C71"/>
    <w:rsid w:val="004E5F0F"/>
    <w:rsid w:val="004F0A4E"/>
    <w:rsid w:val="00522E73"/>
    <w:rsid w:val="00523DEA"/>
    <w:rsid w:val="00526E50"/>
    <w:rsid w:val="0053452A"/>
    <w:rsid w:val="0054594A"/>
    <w:rsid w:val="00547174"/>
    <w:rsid w:val="00554355"/>
    <w:rsid w:val="0055743E"/>
    <w:rsid w:val="00574C9D"/>
    <w:rsid w:val="00575B1D"/>
    <w:rsid w:val="00576E63"/>
    <w:rsid w:val="00576F63"/>
    <w:rsid w:val="00581BFD"/>
    <w:rsid w:val="00585D83"/>
    <w:rsid w:val="00591C3A"/>
    <w:rsid w:val="00591D39"/>
    <w:rsid w:val="00593A6D"/>
    <w:rsid w:val="005972C8"/>
    <w:rsid w:val="005A2F09"/>
    <w:rsid w:val="005D39FD"/>
    <w:rsid w:val="005D4DC9"/>
    <w:rsid w:val="005E0244"/>
    <w:rsid w:val="005E5527"/>
    <w:rsid w:val="005E5E9D"/>
    <w:rsid w:val="0060622F"/>
    <w:rsid w:val="00611977"/>
    <w:rsid w:val="006133BE"/>
    <w:rsid w:val="00620213"/>
    <w:rsid w:val="00620B48"/>
    <w:rsid w:val="00624C6D"/>
    <w:rsid w:val="00632745"/>
    <w:rsid w:val="00634420"/>
    <w:rsid w:val="00636598"/>
    <w:rsid w:val="00651BCD"/>
    <w:rsid w:val="00662EAE"/>
    <w:rsid w:val="0067284F"/>
    <w:rsid w:val="00683DE4"/>
    <w:rsid w:val="00686040"/>
    <w:rsid w:val="00694121"/>
    <w:rsid w:val="00695647"/>
    <w:rsid w:val="006A3AE1"/>
    <w:rsid w:val="006A3D69"/>
    <w:rsid w:val="006A576E"/>
    <w:rsid w:val="006B43E5"/>
    <w:rsid w:val="006C0263"/>
    <w:rsid w:val="006C6D4F"/>
    <w:rsid w:val="006E0D9C"/>
    <w:rsid w:val="006E5790"/>
    <w:rsid w:val="006F3420"/>
    <w:rsid w:val="006F5423"/>
    <w:rsid w:val="006F5879"/>
    <w:rsid w:val="00700C31"/>
    <w:rsid w:val="0070385F"/>
    <w:rsid w:val="00712243"/>
    <w:rsid w:val="0071592A"/>
    <w:rsid w:val="0072048E"/>
    <w:rsid w:val="00722EE3"/>
    <w:rsid w:val="00731AA3"/>
    <w:rsid w:val="00733552"/>
    <w:rsid w:val="00734070"/>
    <w:rsid w:val="00743B92"/>
    <w:rsid w:val="007569D9"/>
    <w:rsid w:val="00761DE2"/>
    <w:rsid w:val="00762DBC"/>
    <w:rsid w:val="00763108"/>
    <w:rsid w:val="00763D93"/>
    <w:rsid w:val="00775D4E"/>
    <w:rsid w:val="00776C3D"/>
    <w:rsid w:val="00777461"/>
    <w:rsid w:val="007938A0"/>
    <w:rsid w:val="00795734"/>
    <w:rsid w:val="007B2A86"/>
    <w:rsid w:val="007B62A3"/>
    <w:rsid w:val="007C301C"/>
    <w:rsid w:val="007C4376"/>
    <w:rsid w:val="007C47F5"/>
    <w:rsid w:val="007C6502"/>
    <w:rsid w:val="007D7BD8"/>
    <w:rsid w:val="007E0AC2"/>
    <w:rsid w:val="007E1117"/>
    <w:rsid w:val="007E2DAB"/>
    <w:rsid w:val="007F2CC2"/>
    <w:rsid w:val="007F2F58"/>
    <w:rsid w:val="007F5588"/>
    <w:rsid w:val="00805757"/>
    <w:rsid w:val="00806693"/>
    <w:rsid w:val="00812258"/>
    <w:rsid w:val="00813B5D"/>
    <w:rsid w:val="00816BCB"/>
    <w:rsid w:val="00823961"/>
    <w:rsid w:val="00827CAE"/>
    <w:rsid w:val="00830532"/>
    <w:rsid w:val="008328D8"/>
    <w:rsid w:val="00842206"/>
    <w:rsid w:val="00847E46"/>
    <w:rsid w:val="00855DAB"/>
    <w:rsid w:val="00860E69"/>
    <w:rsid w:val="0086670A"/>
    <w:rsid w:val="008714C6"/>
    <w:rsid w:val="0088759F"/>
    <w:rsid w:val="008A0C07"/>
    <w:rsid w:val="008B216C"/>
    <w:rsid w:val="008B2F33"/>
    <w:rsid w:val="008C1055"/>
    <w:rsid w:val="008D267F"/>
    <w:rsid w:val="008D3D80"/>
    <w:rsid w:val="008D7FD2"/>
    <w:rsid w:val="008E3BE3"/>
    <w:rsid w:val="008E5DC5"/>
    <w:rsid w:val="008F0637"/>
    <w:rsid w:val="00901834"/>
    <w:rsid w:val="0090415D"/>
    <w:rsid w:val="00911A03"/>
    <w:rsid w:val="009131AD"/>
    <w:rsid w:val="00913F51"/>
    <w:rsid w:val="009147E3"/>
    <w:rsid w:val="00916E08"/>
    <w:rsid w:val="0092044C"/>
    <w:rsid w:val="00921EF7"/>
    <w:rsid w:val="00922AF4"/>
    <w:rsid w:val="0092501E"/>
    <w:rsid w:val="00945E34"/>
    <w:rsid w:val="00946D09"/>
    <w:rsid w:val="00954217"/>
    <w:rsid w:val="00961397"/>
    <w:rsid w:val="00965BE2"/>
    <w:rsid w:val="00981F32"/>
    <w:rsid w:val="00991C97"/>
    <w:rsid w:val="00991F39"/>
    <w:rsid w:val="009A574A"/>
    <w:rsid w:val="009A7DA0"/>
    <w:rsid w:val="009B33A4"/>
    <w:rsid w:val="009B5530"/>
    <w:rsid w:val="009C2006"/>
    <w:rsid w:val="009C7A47"/>
    <w:rsid w:val="009D1073"/>
    <w:rsid w:val="009E2D50"/>
    <w:rsid w:val="009E2F7B"/>
    <w:rsid w:val="009E51B7"/>
    <w:rsid w:val="009E6E2D"/>
    <w:rsid w:val="009F09A3"/>
    <w:rsid w:val="009F3376"/>
    <w:rsid w:val="009F42F8"/>
    <w:rsid w:val="009F4402"/>
    <w:rsid w:val="009F4DF3"/>
    <w:rsid w:val="00A02971"/>
    <w:rsid w:val="00A04602"/>
    <w:rsid w:val="00A1104D"/>
    <w:rsid w:val="00A15FC9"/>
    <w:rsid w:val="00A21752"/>
    <w:rsid w:val="00A36FA3"/>
    <w:rsid w:val="00A36FEC"/>
    <w:rsid w:val="00A42630"/>
    <w:rsid w:val="00A43644"/>
    <w:rsid w:val="00A4489E"/>
    <w:rsid w:val="00A449F1"/>
    <w:rsid w:val="00A53D4C"/>
    <w:rsid w:val="00A55A17"/>
    <w:rsid w:val="00A57994"/>
    <w:rsid w:val="00A6290B"/>
    <w:rsid w:val="00A64953"/>
    <w:rsid w:val="00A76236"/>
    <w:rsid w:val="00A80895"/>
    <w:rsid w:val="00A8122B"/>
    <w:rsid w:val="00A873A6"/>
    <w:rsid w:val="00A95AA3"/>
    <w:rsid w:val="00AA1D8D"/>
    <w:rsid w:val="00AA1ED9"/>
    <w:rsid w:val="00AA53E0"/>
    <w:rsid w:val="00AA5BF7"/>
    <w:rsid w:val="00AB03FA"/>
    <w:rsid w:val="00AB187A"/>
    <w:rsid w:val="00AB43EE"/>
    <w:rsid w:val="00AB66DB"/>
    <w:rsid w:val="00AB7E95"/>
    <w:rsid w:val="00AC3866"/>
    <w:rsid w:val="00AD3E53"/>
    <w:rsid w:val="00AE0ABB"/>
    <w:rsid w:val="00AE361B"/>
    <w:rsid w:val="00AE52D0"/>
    <w:rsid w:val="00AF00EE"/>
    <w:rsid w:val="00AF182D"/>
    <w:rsid w:val="00B15A1B"/>
    <w:rsid w:val="00B2052D"/>
    <w:rsid w:val="00B23C85"/>
    <w:rsid w:val="00B2424B"/>
    <w:rsid w:val="00B257AD"/>
    <w:rsid w:val="00B339F5"/>
    <w:rsid w:val="00B47730"/>
    <w:rsid w:val="00B506DD"/>
    <w:rsid w:val="00B52CA1"/>
    <w:rsid w:val="00B5514D"/>
    <w:rsid w:val="00B55F69"/>
    <w:rsid w:val="00B64822"/>
    <w:rsid w:val="00B6625E"/>
    <w:rsid w:val="00B705C7"/>
    <w:rsid w:val="00B74B79"/>
    <w:rsid w:val="00B8366B"/>
    <w:rsid w:val="00B869EB"/>
    <w:rsid w:val="00B91922"/>
    <w:rsid w:val="00BA5CE5"/>
    <w:rsid w:val="00BB0D4E"/>
    <w:rsid w:val="00BB3D77"/>
    <w:rsid w:val="00BC43CB"/>
    <w:rsid w:val="00BD1604"/>
    <w:rsid w:val="00BD7B0D"/>
    <w:rsid w:val="00BE1722"/>
    <w:rsid w:val="00C001D2"/>
    <w:rsid w:val="00C00E42"/>
    <w:rsid w:val="00C016FE"/>
    <w:rsid w:val="00C11215"/>
    <w:rsid w:val="00C117B4"/>
    <w:rsid w:val="00C14A87"/>
    <w:rsid w:val="00C159D0"/>
    <w:rsid w:val="00C25C10"/>
    <w:rsid w:val="00C32947"/>
    <w:rsid w:val="00C34382"/>
    <w:rsid w:val="00C364AF"/>
    <w:rsid w:val="00C42258"/>
    <w:rsid w:val="00C42FC3"/>
    <w:rsid w:val="00C52263"/>
    <w:rsid w:val="00C5514E"/>
    <w:rsid w:val="00C560D2"/>
    <w:rsid w:val="00C577A8"/>
    <w:rsid w:val="00C62FFD"/>
    <w:rsid w:val="00C64E07"/>
    <w:rsid w:val="00C65352"/>
    <w:rsid w:val="00C65AF6"/>
    <w:rsid w:val="00C67689"/>
    <w:rsid w:val="00C676CB"/>
    <w:rsid w:val="00C77301"/>
    <w:rsid w:val="00C858B8"/>
    <w:rsid w:val="00C93AB6"/>
    <w:rsid w:val="00C95DB8"/>
    <w:rsid w:val="00C9677C"/>
    <w:rsid w:val="00C977E2"/>
    <w:rsid w:val="00CA251B"/>
    <w:rsid w:val="00CA734B"/>
    <w:rsid w:val="00CB0664"/>
    <w:rsid w:val="00CB23E4"/>
    <w:rsid w:val="00CB28E3"/>
    <w:rsid w:val="00CB30D1"/>
    <w:rsid w:val="00CB5B13"/>
    <w:rsid w:val="00CB607C"/>
    <w:rsid w:val="00CB7A66"/>
    <w:rsid w:val="00CB7EA3"/>
    <w:rsid w:val="00CC474F"/>
    <w:rsid w:val="00CD7888"/>
    <w:rsid w:val="00CE0BED"/>
    <w:rsid w:val="00CF059A"/>
    <w:rsid w:val="00CF07A1"/>
    <w:rsid w:val="00CF0AFC"/>
    <w:rsid w:val="00D03085"/>
    <w:rsid w:val="00D04A21"/>
    <w:rsid w:val="00D07995"/>
    <w:rsid w:val="00D10288"/>
    <w:rsid w:val="00D14F3F"/>
    <w:rsid w:val="00D23864"/>
    <w:rsid w:val="00D2432C"/>
    <w:rsid w:val="00D24AC5"/>
    <w:rsid w:val="00D368FC"/>
    <w:rsid w:val="00D37F15"/>
    <w:rsid w:val="00D44243"/>
    <w:rsid w:val="00D469F4"/>
    <w:rsid w:val="00D46CEB"/>
    <w:rsid w:val="00D54459"/>
    <w:rsid w:val="00D604D6"/>
    <w:rsid w:val="00D624FE"/>
    <w:rsid w:val="00D65628"/>
    <w:rsid w:val="00D70A52"/>
    <w:rsid w:val="00D73EB3"/>
    <w:rsid w:val="00D75BDC"/>
    <w:rsid w:val="00D80F4A"/>
    <w:rsid w:val="00D81EA9"/>
    <w:rsid w:val="00D91415"/>
    <w:rsid w:val="00D9225E"/>
    <w:rsid w:val="00DA496B"/>
    <w:rsid w:val="00DB3628"/>
    <w:rsid w:val="00DB4013"/>
    <w:rsid w:val="00DB4122"/>
    <w:rsid w:val="00DB7DF2"/>
    <w:rsid w:val="00DC57DE"/>
    <w:rsid w:val="00DE0613"/>
    <w:rsid w:val="00DE30B2"/>
    <w:rsid w:val="00DE6CDF"/>
    <w:rsid w:val="00DF52FA"/>
    <w:rsid w:val="00E17613"/>
    <w:rsid w:val="00E201FC"/>
    <w:rsid w:val="00E20357"/>
    <w:rsid w:val="00E2719F"/>
    <w:rsid w:val="00E305B7"/>
    <w:rsid w:val="00E321DF"/>
    <w:rsid w:val="00E40675"/>
    <w:rsid w:val="00E41640"/>
    <w:rsid w:val="00E46E45"/>
    <w:rsid w:val="00E502B9"/>
    <w:rsid w:val="00E5048F"/>
    <w:rsid w:val="00E52E31"/>
    <w:rsid w:val="00E54837"/>
    <w:rsid w:val="00E62971"/>
    <w:rsid w:val="00E660C6"/>
    <w:rsid w:val="00E70F39"/>
    <w:rsid w:val="00E8283D"/>
    <w:rsid w:val="00E90893"/>
    <w:rsid w:val="00E91D71"/>
    <w:rsid w:val="00E97F06"/>
    <w:rsid w:val="00EA025B"/>
    <w:rsid w:val="00EA432B"/>
    <w:rsid w:val="00EA4BAA"/>
    <w:rsid w:val="00EA6DE4"/>
    <w:rsid w:val="00EB1180"/>
    <w:rsid w:val="00EB6D44"/>
    <w:rsid w:val="00EC47E7"/>
    <w:rsid w:val="00ED211E"/>
    <w:rsid w:val="00ED3C8A"/>
    <w:rsid w:val="00EE0CD7"/>
    <w:rsid w:val="00EE2323"/>
    <w:rsid w:val="00EE6249"/>
    <w:rsid w:val="00F01C26"/>
    <w:rsid w:val="00F040AC"/>
    <w:rsid w:val="00F04846"/>
    <w:rsid w:val="00F04D88"/>
    <w:rsid w:val="00F0747E"/>
    <w:rsid w:val="00F07BED"/>
    <w:rsid w:val="00F13394"/>
    <w:rsid w:val="00F16EA1"/>
    <w:rsid w:val="00F173D9"/>
    <w:rsid w:val="00F17D7D"/>
    <w:rsid w:val="00F21100"/>
    <w:rsid w:val="00F260A2"/>
    <w:rsid w:val="00F267B7"/>
    <w:rsid w:val="00F466C3"/>
    <w:rsid w:val="00F4684B"/>
    <w:rsid w:val="00F46C64"/>
    <w:rsid w:val="00F52B4A"/>
    <w:rsid w:val="00F54B18"/>
    <w:rsid w:val="00F558F2"/>
    <w:rsid w:val="00F5786E"/>
    <w:rsid w:val="00F6170C"/>
    <w:rsid w:val="00F6734F"/>
    <w:rsid w:val="00F708D7"/>
    <w:rsid w:val="00F742E9"/>
    <w:rsid w:val="00F75CFD"/>
    <w:rsid w:val="00F82A47"/>
    <w:rsid w:val="00F838DB"/>
    <w:rsid w:val="00F8627D"/>
    <w:rsid w:val="00F91DC2"/>
    <w:rsid w:val="00F9501C"/>
    <w:rsid w:val="00FA2A40"/>
    <w:rsid w:val="00FA2C82"/>
    <w:rsid w:val="00FA4E8B"/>
    <w:rsid w:val="00FB37AE"/>
    <w:rsid w:val="00FB4278"/>
    <w:rsid w:val="00FB7118"/>
    <w:rsid w:val="00FC072F"/>
    <w:rsid w:val="00FC693F"/>
    <w:rsid w:val="00FC7B73"/>
    <w:rsid w:val="00FD10E3"/>
    <w:rsid w:val="00FD339B"/>
    <w:rsid w:val="00FD37D0"/>
    <w:rsid w:val="00FD4109"/>
    <w:rsid w:val="00FE7387"/>
    <w:rsid w:val="00FF1A17"/>
    <w:rsid w:val="00FF202F"/>
    <w:rsid w:val="00FF57A2"/>
    <w:rsid w:val="00FF690D"/>
    <w:rsid w:val="00FF6F0B"/>
    <w:rsid w:val="00FF7888"/>
    <w:rsid w:val="05CCBE6B"/>
    <w:rsid w:val="0A5E10E0"/>
    <w:rsid w:val="10DDE3BF"/>
    <w:rsid w:val="1972BF8C"/>
    <w:rsid w:val="24E6B482"/>
    <w:rsid w:val="29E2E545"/>
    <w:rsid w:val="2B22BF73"/>
    <w:rsid w:val="2B2E4E38"/>
    <w:rsid w:val="2C2E4B71"/>
    <w:rsid w:val="2EF3F5CE"/>
    <w:rsid w:val="2EFB3FFD"/>
    <w:rsid w:val="312E5F2E"/>
    <w:rsid w:val="3710CE68"/>
    <w:rsid w:val="4C697F11"/>
    <w:rsid w:val="4E9FDDF3"/>
    <w:rsid w:val="5EF624B6"/>
    <w:rsid w:val="68FBD239"/>
    <w:rsid w:val="6B9106D2"/>
    <w:rsid w:val="6BAE8787"/>
    <w:rsid w:val="7C33AD2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00"/>
  <w15:docId w15:val="{28DECA1D-A3E6-4942-8779-44A63317F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276E8B" w:themeColor="accent1" w:themeShade="BF"/>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3494BA"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3494BA"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3494BA"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1A495C"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1A495C"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3494BA"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276E8B"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3494BA"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3494BA" w:themeColor="accent1"/>
    </w:rPr>
  </w:style>
  <w:style w:type="paragraph" w:styleId="Title">
    <w:name w:val="Title"/>
    <w:basedOn w:val="Normal"/>
    <w:next w:val="Normal"/>
    <w:link w:val="TitleChar"/>
    <w:uiPriority w:val="10"/>
    <w:qFormat/>
    <w:rsid w:val="00FC693F"/>
    <w:pPr>
      <w:pBdr>
        <w:bottom w:val="single" w:sz="8" w:space="4" w:color="3494BA" w:themeColor="accent1"/>
      </w:pBdr>
      <w:spacing w:after="300" w:line="240" w:lineRule="auto"/>
      <w:contextualSpacing/>
    </w:pPr>
    <w:rPr>
      <w:rFonts w:asciiTheme="majorHAnsi" w:eastAsiaTheme="majorEastAsia" w:hAnsiTheme="majorHAnsi" w:cstheme="majorBidi"/>
      <w:b/>
      <w:color w:val="292733"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292733"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3494BA"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3494BA"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3494BA"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1A495C"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1A495C"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3494BA"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3494BA"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3494BA" w:themeColor="accent1"/>
      </w:pBdr>
      <w:spacing w:before="200" w:after="280"/>
      <w:ind w:left="936" w:right="936"/>
    </w:pPr>
    <w:rPr>
      <w:b/>
      <w:bCs/>
      <w:i/>
      <w:iCs/>
      <w:color w:val="3494BA" w:themeColor="accent1"/>
    </w:rPr>
  </w:style>
  <w:style w:type="character" w:customStyle="1" w:styleId="IntenseQuoteChar">
    <w:name w:val="Intense Quote Char"/>
    <w:basedOn w:val="DefaultParagraphFont"/>
    <w:link w:val="IntenseQuote"/>
    <w:uiPriority w:val="30"/>
    <w:rsid w:val="00FC693F"/>
    <w:rPr>
      <w:b/>
      <w:bCs/>
      <w:i/>
      <w:iCs/>
      <w:color w:val="3494BA"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3494BA" w:themeColor="accent1"/>
    </w:rPr>
  </w:style>
  <w:style w:type="character" w:styleId="SubtleReference">
    <w:name w:val="Subtle Reference"/>
    <w:basedOn w:val="DefaultParagraphFont"/>
    <w:uiPriority w:val="31"/>
    <w:qFormat/>
    <w:rsid w:val="00FC693F"/>
    <w:rPr>
      <w:smallCaps/>
      <w:color w:val="58B6C0" w:themeColor="accent2"/>
      <w:u w:val="single"/>
    </w:rPr>
  </w:style>
  <w:style w:type="character" w:styleId="IntenseReference">
    <w:name w:val="Intense Reference"/>
    <w:basedOn w:val="DefaultParagraphFont"/>
    <w:uiPriority w:val="32"/>
    <w:qFormat/>
    <w:rsid w:val="00FC693F"/>
    <w:rPr>
      <w:b/>
      <w:bCs/>
      <w:smallCaps/>
      <w:color w:val="58B6C0"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276E8B" w:themeColor="accent1" w:themeShade="BF"/>
    </w:rPr>
    <w:tblPr>
      <w:tblStyleRowBandSize w:val="1"/>
      <w:tblStyleColBandSize w:val="1"/>
      <w:tblBorders>
        <w:top w:val="single" w:sz="8" w:space="0" w:color="3494BA" w:themeColor="accent1"/>
        <w:bottom w:val="single" w:sz="8" w:space="0" w:color="3494BA" w:themeColor="accent1"/>
      </w:tblBorders>
    </w:tblPr>
    <w:tblStylePr w:type="firstRow">
      <w:pPr>
        <w:spacing w:before="0" w:after="0" w:line="240" w:lineRule="auto"/>
      </w:pPr>
      <w:rPr>
        <w:b/>
        <w:bCs/>
      </w:rPr>
      <w:tblPr/>
      <w:tcPr>
        <w:tcBorders>
          <w:top w:val="single" w:sz="8" w:space="0" w:color="3494BA" w:themeColor="accent1"/>
          <w:left w:val="nil"/>
          <w:bottom w:val="single" w:sz="8" w:space="0" w:color="3494BA" w:themeColor="accent1"/>
          <w:right w:val="nil"/>
          <w:insideH w:val="nil"/>
          <w:insideV w:val="nil"/>
        </w:tcBorders>
      </w:tcPr>
    </w:tblStylePr>
    <w:tblStylePr w:type="lastRow">
      <w:pPr>
        <w:spacing w:before="0" w:after="0" w:line="240" w:lineRule="auto"/>
      </w:pPr>
      <w:rPr>
        <w:b/>
        <w:bCs/>
      </w:rPr>
      <w:tblPr/>
      <w:tcPr>
        <w:tcBorders>
          <w:top w:val="single" w:sz="8" w:space="0" w:color="3494BA" w:themeColor="accent1"/>
          <w:left w:val="nil"/>
          <w:bottom w:val="single" w:sz="8" w:space="0" w:color="3494B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left w:val="nil"/>
          <w:right w:val="nil"/>
          <w:insideH w:val="nil"/>
          <w:insideV w:val="nil"/>
        </w:tcBorders>
        <w:shd w:val="clear" w:color="auto" w:fill="CAE5F0" w:themeFill="accent1" w:themeFillTint="3F"/>
      </w:tcPr>
    </w:tblStylePr>
  </w:style>
  <w:style w:type="table" w:styleId="LightShading-Accent2">
    <w:name w:val="Light Shading Accent 2"/>
    <w:basedOn w:val="TableNormal"/>
    <w:uiPriority w:val="60"/>
    <w:rsid w:val="00FC693F"/>
    <w:pPr>
      <w:spacing w:after="0" w:line="240" w:lineRule="auto"/>
    </w:pPr>
    <w:rPr>
      <w:color w:val="398E98" w:themeColor="accent2" w:themeShade="BF"/>
    </w:rPr>
    <w:tblPr>
      <w:tblStyleRowBandSize w:val="1"/>
      <w:tblStyleColBandSize w:val="1"/>
      <w:tblBorders>
        <w:top w:val="single" w:sz="8" w:space="0" w:color="58B6C0" w:themeColor="accent2"/>
        <w:bottom w:val="single" w:sz="8" w:space="0" w:color="58B6C0" w:themeColor="accent2"/>
      </w:tblBorders>
    </w:tblPr>
    <w:tblStylePr w:type="firstRow">
      <w:pPr>
        <w:spacing w:before="0" w:after="0" w:line="240" w:lineRule="auto"/>
      </w:pPr>
      <w:rPr>
        <w:b/>
        <w:bCs/>
      </w:rPr>
      <w:tblPr/>
      <w:tcPr>
        <w:tcBorders>
          <w:top w:val="single" w:sz="8" w:space="0" w:color="58B6C0" w:themeColor="accent2"/>
          <w:left w:val="nil"/>
          <w:bottom w:val="single" w:sz="8" w:space="0" w:color="58B6C0" w:themeColor="accent2"/>
          <w:right w:val="nil"/>
          <w:insideH w:val="nil"/>
          <w:insideV w:val="nil"/>
        </w:tcBorders>
      </w:tcPr>
    </w:tblStylePr>
    <w:tblStylePr w:type="lastRow">
      <w:pPr>
        <w:spacing w:before="0" w:after="0" w:line="240" w:lineRule="auto"/>
      </w:pPr>
      <w:rPr>
        <w:b/>
        <w:bCs/>
      </w:rPr>
      <w:tblPr/>
      <w:tcPr>
        <w:tcBorders>
          <w:top w:val="single" w:sz="8" w:space="0" w:color="58B6C0" w:themeColor="accent2"/>
          <w:left w:val="nil"/>
          <w:bottom w:val="single" w:sz="8" w:space="0" w:color="58B6C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ECEF" w:themeFill="accent2" w:themeFillTint="3F"/>
      </w:tcPr>
    </w:tblStylePr>
    <w:tblStylePr w:type="band1Horz">
      <w:tblPr/>
      <w:tcPr>
        <w:tcBorders>
          <w:left w:val="nil"/>
          <w:right w:val="nil"/>
          <w:insideH w:val="nil"/>
          <w:insideV w:val="nil"/>
        </w:tcBorders>
        <w:shd w:val="clear" w:color="auto" w:fill="D5ECEF" w:themeFill="accent2" w:themeFillTint="3F"/>
      </w:tcPr>
    </w:tblStylePr>
  </w:style>
  <w:style w:type="table" w:styleId="LightShading-Accent3">
    <w:name w:val="Light Shading Accent 3"/>
    <w:basedOn w:val="TableNormal"/>
    <w:uiPriority w:val="60"/>
    <w:rsid w:val="00FC693F"/>
    <w:pPr>
      <w:spacing w:after="0" w:line="240" w:lineRule="auto"/>
    </w:pPr>
    <w:rPr>
      <w:color w:val="4A9A82" w:themeColor="accent3" w:themeShade="BF"/>
    </w:rPr>
    <w:tblPr>
      <w:tblStyleRowBandSize w:val="1"/>
      <w:tblStyleColBandSize w:val="1"/>
      <w:tblBorders>
        <w:top w:val="single" w:sz="8" w:space="0" w:color="75BDA7" w:themeColor="accent3"/>
        <w:bottom w:val="single" w:sz="8" w:space="0" w:color="75BDA7" w:themeColor="accent3"/>
      </w:tblBorders>
    </w:tblPr>
    <w:tblStylePr w:type="firstRow">
      <w:pPr>
        <w:spacing w:before="0" w:after="0" w:line="240" w:lineRule="auto"/>
      </w:pPr>
      <w:rPr>
        <w:b/>
        <w:bCs/>
      </w:rPr>
      <w:tblPr/>
      <w:tcPr>
        <w:tcBorders>
          <w:top w:val="single" w:sz="8" w:space="0" w:color="75BDA7" w:themeColor="accent3"/>
          <w:left w:val="nil"/>
          <w:bottom w:val="single" w:sz="8" w:space="0" w:color="75BDA7" w:themeColor="accent3"/>
          <w:right w:val="nil"/>
          <w:insideH w:val="nil"/>
          <w:insideV w:val="nil"/>
        </w:tcBorders>
      </w:tcPr>
    </w:tblStylePr>
    <w:tblStylePr w:type="lastRow">
      <w:pPr>
        <w:spacing w:before="0" w:after="0" w:line="240" w:lineRule="auto"/>
      </w:pPr>
      <w:rPr>
        <w:b/>
        <w:bCs/>
      </w:rPr>
      <w:tblPr/>
      <w:tcPr>
        <w:tcBorders>
          <w:top w:val="single" w:sz="8" w:space="0" w:color="75BDA7" w:themeColor="accent3"/>
          <w:left w:val="nil"/>
          <w:bottom w:val="single" w:sz="8" w:space="0" w:color="75BDA7"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EE9" w:themeFill="accent3" w:themeFillTint="3F"/>
      </w:tcPr>
    </w:tblStylePr>
    <w:tblStylePr w:type="band1Horz">
      <w:tblPr/>
      <w:tcPr>
        <w:tcBorders>
          <w:left w:val="nil"/>
          <w:right w:val="nil"/>
          <w:insideH w:val="nil"/>
          <w:insideV w:val="nil"/>
        </w:tcBorders>
        <w:shd w:val="clear" w:color="auto" w:fill="DCEEE9" w:themeFill="accent3" w:themeFillTint="3F"/>
      </w:tcPr>
    </w:tblStylePr>
  </w:style>
  <w:style w:type="table" w:styleId="LightShading-Accent4">
    <w:name w:val="Light Shading Accent 4"/>
    <w:basedOn w:val="TableNormal"/>
    <w:uiPriority w:val="60"/>
    <w:rsid w:val="00FC693F"/>
    <w:pPr>
      <w:spacing w:after="0" w:line="240" w:lineRule="auto"/>
    </w:pPr>
    <w:rPr>
      <w:color w:val="5A696A" w:themeColor="accent4" w:themeShade="BF"/>
    </w:rPr>
    <w:tblPr>
      <w:tblStyleRowBandSize w:val="1"/>
      <w:tblStyleColBandSize w:val="1"/>
      <w:tblBorders>
        <w:top w:val="single" w:sz="8" w:space="0" w:color="7A8C8E" w:themeColor="accent4"/>
        <w:bottom w:val="single" w:sz="8" w:space="0" w:color="7A8C8E" w:themeColor="accent4"/>
      </w:tblBorders>
    </w:tblPr>
    <w:tblStylePr w:type="firstRow">
      <w:pPr>
        <w:spacing w:before="0" w:after="0" w:line="240" w:lineRule="auto"/>
      </w:pPr>
      <w:rPr>
        <w:b/>
        <w:bCs/>
      </w:rPr>
      <w:tblPr/>
      <w:tcPr>
        <w:tcBorders>
          <w:top w:val="single" w:sz="8" w:space="0" w:color="7A8C8E" w:themeColor="accent4"/>
          <w:left w:val="nil"/>
          <w:bottom w:val="single" w:sz="8" w:space="0" w:color="7A8C8E" w:themeColor="accent4"/>
          <w:right w:val="nil"/>
          <w:insideH w:val="nil"/>
          <w:insideV w:val="nil"/>
        </w:tcBorders>
      </w:tcPr>
    </w:tblStylePr>
    <w:tblStylePr w:type="lastRow">
      <w:pPr>
        <w:spacing w:before="0" w:after="0" w:line="240" w:lineRule="auto"/>
      </w:pPr>
      <w:rPr>
        <w:b/>
        <w:bCs/>
      </w:rPr>
      <w:tblPr/>
      <w:tcPr>
        <w:tcBorders>
          <w:top w:val="single" w:sz="8" w:space="0" w:color="7A8C8E" w:themeColor="accent4"/>
          <w:left w:val="nil"/>
          <w:bottom w:val="single" w:sz="8" w:space="0" w:color="7A8C8E"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EE2E3" w:themeFill="accent4" w:themeFillTint="3F"/>
      </w:tcPr>
    </w:tblStylePr>
    <w:tblStylePr w:type="band1Horz">
      <w:tblPr/>
      <w:tcPr>
        <w:tcBorders>
          <w:left w:val="nil"/>
          <w:right w:val="nil"/>
          <w:insideH w:val="nil"/>
          <w:insideV w:val="nil"/>
        </w:tcBorders>
        <w:shd w:val="clear" w:color="auto" w:fill="DEE2E3" w:themeFill="accent4" w:themeFillTint="3F"/>
      </w:tcPr>
    </w:tblStylePr>
  </w:style>
  <w:style w:type="table" w:styleId="LightShading-Accent5">
    <w:name w:val="Light Shading Accent 5"/>
    <w:basedOn w:val="TableNormal"/>
    <w:uiPriority w:val="60"/>
    <w:rsid w:val="00FC693F"/>
    <w:pPr>
      <w:spacing w:after="0" w:line="240" w:lineRule="auto"/>
    </w:pPr>
    <w:rPr>
      <w:color w:val="578793" w:themeColor="accent5" w:themeShade="BF"/>
    </w:rPr>
    <w:tblPr>
      <w:tblStyleRowBandSize w:val="1"/>
      <w:tblStyleColBandSize w:val="1"/>
      <w:tblBorders>
        <w:top w:val="single" w:sz="8" w:space="0" w:color="84ACB6" w:themeColor="accent5"/>
        <w:bottom w:val="single" w:sz="8" w:space="0" w:color="84ACB6" w:themeColor="accent5"/>
      </w:tblBorders>
    </w:tblPr>
    <w:tblStylePr w:type="firstRow">
      <w:pPr>
        <w:spacing w:before="0" w:after="0" w:line="240" w:lineRule="auto"/>
      </w:pPr>
      <w:rPr>
        <w:b/>
        <w:bCs/>
      </w:rPr>
      <w:tblPr/>
      <w:tcPr>
        <w:tcBorders>
          <w:top w:val="single" w:sz="8" w:space="0" w:color="84ACB6" w:themeColor="accent5"/>
          <w:left w:val="nil"/>
          <w:bottom w:val="single" w:sz="8" w:space="0" w:color="84ACB6" w:themeColor="accent5"/>
          <w:right w:val="nil"/>
          <w:insideH w:val="nil"/>
          <w:insideV w:val="nil"/>
        </w:tcBorders>
      </w:tcPr>
    </w:tblStylePr>
    <w:tblStylePr w:type="lastRow">
      <w:pPr>
        <w:spacing w:before="0" w:after="0" w:line="240" w:lineRule="auto"/>
      </w:pPr>
      <w:rPr>
        <w:b/>
        <w:bCs/>
      </w:rPr>
      <w:tblPr/>
      <w:tcPr>
        <w:tcBorders>
          <w:top w:val="single" w:sz="8" w:space="0" w:color="84ACB6" w:themeColor="accent5"/>
          <w:left w:val="nil"/>
          <w:bottom w:val="single" w:sz="8" w:space="0" w:color="84ACB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EAED" w:themeFill="accent5" w:themeFillTint="3F"/>
      </w:tcPr>
    </w:tblStylePr>
    <w:tblStylePr w:type="band1Horz">
      <w:tblPr/>
      <w:tcPr>
        <w:tcBorders>
          <w:left w:val="nil"/>
          <w:right w:val="nil"/>
          <w:insideH w:val="nil"/>
          <w:insideV w:val="nil"/>
        </w:tcBorders>
        <w:shd w:val="clear" w:color="auto" w:fill="E0EAED" w:themeFill="accent5" w:themeFillTint="3F"/>
      </w:tcPr>
    </w:tblStylePr>
  </w:style>
  <w:style w:type="table" w:styleId="LightShading-Accent6">
    <w:name w:val="Light Shading Accent 6"/>
    <w:basedOn w:val="TableNormal"/>
    <w:uiPriority w:val="60"/>
    <w:rsid w:val="00FC693F"/>
    <w:pPr>
      <w:spacing w:after="0" w:line="240" w:lineRule="auto"/>
    </w:pPr>
    <w:rPr>
      <w:color w:val="1C6194" w:themeColor="accent6" w:themeShade="BF"/>
    </w:rPr>
    <w:tblPr>
      <w:tblStyleRowBandSize w:val="1"/>
      <w:tblStyleColBandSize w:val="1"/>
      <w:tblBorders>
        <w:top w:val="single" w:sz="8" w:space="0" w:color="2683C6" w:themeColor="accent6"/>
        <w:bottom w:val="single" w:sz="8" w:space="0" w:color="2683C6" w:themeColor="accent6"/>
      </w:tblBorders>
    </w:tblPr>
    <w:tblStylePr w:type="firstRow">
      <w:pPr>
        <w:spacing w:before="0" w:after="0" w:line="240" w:lineRule="auto"/>
      </w:pPr>
      <w:rPr>
        <w:b/>
        <w:bCs/>
      </w:rPr>
      <w:tblPr/>
      <w:tcPr>
        <w:tcBorders>
          <w:top w:val="single" w:sz="8" w:space="0" w:color="2683C6" w:themeColor="accent6"/>
          <w:left w:val="nil"/>
          <w:bottom w:val="single" w:sz="8" w:space="0" w:color="2683C6" w:themeColor="accent6"/>
          <w:right w:val="nil"/>
          <w:insideH w:val="nil"/>
          <w:insideV w:val="nil"/>
        </w:tcBorders>
      </w:tcPr>
    </w:tblStylePr>
    <w:tblStylePr w:type="lastRow">
      <w:pPr>
        <w:spacing w:before="0" w:after="0" w:line="240" w:lineRule="auto"/>
      </w:pPr>
      <w:rPr>
        <w:b/>
        <w:bCs/>
      </w:rPr>
      <w:tblPr/>
      <w:tcPr>
        <w:tcBorders>
          <w:top w:val="single" w:sz="8" w:space="0" w:color="2683C6" w:themeColor="accent6"/>
          <w:left w:val="nil"/>
          <w:bottom w:val="single" w:sz="8" w:space="0" w:color="2683C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5E0F4" w:themeFill="accent6" w:themeFillTint="3F"/>
      </w:tcPr>
    </w:tblStylePr>
    <w:tblStylePr w:type="band1Horz">
      <w:tblPr/>
      <w:tcPr>
        <w:tcBorders>
          <w:left w:val="nil"/>
          <w:right w:val="nil"/>
          <w:insideH w:val="nil"/>
          <w:insideV w:val="nil"/>
        </w:tcBorders>
        <w:shd w:val="clear" w:color="auto" w:fill="C5E0F4"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tblBorders>
    </w:tblPr>
    <w:tblStylePr w:type="firstRow">
      <w:pPr>
        <w:spacing w:before="0" w:after="0" w:line="240" w:lineRule="auto"/>
      </w:pPr>
      <w:rPr>
        <w:b/>
        <w:bCs/>
        <w:color w:val="FFFFFF" w:themeColor="background1"/>
      </w:rPr>
      <w:tblPr/>
      <w:tcPr>
        <w:shd w:val="clear" w:color="auto" w:fill="3494BA" w:themeFill="accent1"/>
      </w:tcPr>
    </w:tblStylePr>
    <w:tblStylePr w:type="lastRow">
      <w:pPr>
        <w:spacing w:before="0" w:after="0" w:line="240" w:lineRule="auto"/>
      </w:pPr>
      <w:rPr>
        <w:b/>
        <w:bCs/>
      </w:rPr>
      <w:tblPr/>
      <w:tcPr>
        <w:tcBorders>
          <w:top w:val="double" w:sz="6" w:space="0" w:color="3494BA" w:themeColor="accent1"/>
          <w:left w:val="single" w:sz="8" w:space="0" w:color="3494BA" w:themeColor="accent1"/>
          <w:bottom w:val="single" w:sz="8" w:space="0" w:color="3494BA" w:themeColor="accent1"/>
          <w:right w:val="single" w:sz="8" w:space="0" w:color="3494BA" w:themeColor="accent1"/>
        </w:tcBorders>
      </w:tcPr>
    </w:tblStylePr>
    <w:tblStylePr w:type="firstCol">
      <w:rPr>
        <w:b/>
        <w:bCs/>
      </w:rPr>
    </w:tblStylePr>
    <w:tblStylePr w:type="lastCol">
      <w:rPr>
        <w:b/>
        <w:bCs/>
      </w:rPr>
    </w:tblStylePr>
    <w:tblStylePr w:type="band1Vert">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tblStylePr w:type="band1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tblBorders>
    </w:tblPr>
    <w:tblStylePr w:type="firstRow">
      <w:pPr>
        <w:spacing w:before="0" w:after="0" w:line="240" w:lineRule="auto"/>
      </w:pPr>
      <w:rPr>
        <w:b/>
        <w:bCs/>
        <w:color w:val="FFFFFF" w:themeColor="background1"/>
      </w:rPr>
      <w:tblPr/>
      <w:tcPr>
        <w:shd w:val="clear" w:color="auto" w:fill="58B6C0" w:themeFill="accent2"/>
      </w:tcPr>
    </w:tblStylePr>
    <w:tblStylePr w:type="lastRow">
      <w:pPr>
        <w:spacing w:before="0" w:after="0" w:line="240" w:lineRule="auto"/>
      </w:pPr>
      <w:rPr>
        <w:b/>
        <w:bCs/>
      </w:rPr>
      <w:tblPr/>
      <w:tcPr>
        <w:tcBorders>
          <w:top w:val="double" w:sz="6" w:space="0" w:color="58B6C0" w:themeColor="accent2"/>
          <w:left w:val="single" w:sz="8" w:space="0" w:color="58B6C0" w:themeColor="accent2"/>
          <w:bottom w:val="single" w:sz="8" w:space="0" w:color="58B6C0" w:themeColor="accent2"/>
          <w:right w:val="single" w:sz="8" w:space="0" w:color="58B6C0" w:themeColor="accent2"/>
        </w:tcBorders>
      </w:tcPr>
    </w:tblStylePr>
    <w:tblStylePr w:type="firstCol">
      <w:rPr>
        <w:b/>
        <w:bCs/>
      </w:rPr>
    </w:tblStylePr>
    <w:tblStylePr w:type="lastCol">
      <w:rPr>
        <w:b/>
        <w:bCs/>
      </w:rPr>
    </w:tblStylePr>
    <w:tblStylePr w:type="band1Vert">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tblStylePr w:type="band1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tblBorders>
    </w:tblPr>
    <w:tblStylePr w:type="firstRow">
      <w:pPr>
        <w:spacing w:before="0" w:after="0" w:line="240" w:lineRule="auto"/>
      </w:pPr>
      <w:rPr>
        <w:b/>
        <w:bCs/>
        <w:color w:val="FFFFFF" w:themeColor="background1"/>
      </w:rPr>
      <w:tblPr/>
      <w:tcPr>
        <w:shd w:val="clear" w:color="auto" w:fill="75BDA7" w:themeFill="accent3"/>
      </w:tcPr>
    </w:tblStylePr>
    <w:tblStylePr w:type="lastRow">
      <w:pPr>
        <w:spacing w:before="0" w:after="0" w:line="240" w:lineRule="auto"/>
      </w:pPr>
      <w:rPr>
        <w:b/>
        <w:bCs/>
      </w:rPr>
      <w:tblPr/>
      <w:tcPr>
        <w:tcBorders>
          <w:top w:val="double" w:sz="6" w:space="0" w:color="75BDA7" w:themeColor="accent3"/>
          <w:left w:val="single" w:sz="8" w:space="0" w:color="75BDA7" w:themeColor="accent3"/>
          <w:bottom w:val="single" w:sz="8" w:space="0" w:color="75BDA7" w:themeColor="accent3"/>
          <w:right w:val="single" w:sz="8" w:space="0" w:color="75BDA7" w:themeColor="accent3"/>
        </w:tcBorders>
      </w:tcPr>
    </w:tblStylePr>
    <w:tblStylePr w:type="firstCol">
      <w:rPr>
        <w:b/>
        <w:bCs/>
      </w:rPr>
    </w:tblStylePr>
    <w:tblStylePr w:type="lastCol">
      <w:rPr>
        <w:b/>
        <w:bCs/>
      </w:rPr>
    </w:tblStylePr>
    <w:tblStylePr w:type="band1Vert">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tblStylePr w:type="band1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tblBorders>
    </w:tblPr>
    <w:tblStylePr w:type="firstRow">
      <w:pPr>
        <w:spacing w:before="0" w:after="0" w:line="240" w:lineRule="auto"/>
      </w:pPr>
      <w:rPr>
        <w:b/>
        <w:bCs/>
        <w:color w:val="FFFFFF" w:themeColor="background1"/>
      </w:rPr>
      <w:tblPr/>
      <w:tcPr>
        <w:shd w:val="clear" w:color="auto" w:fill="7A8C8E" w:themeFill="accent4"/>
      </w:tcPr>
    </w:tblStylePr>
    <w:tblStylePr w:type="lastRow">
      <w:pPr>
        <w:spacing w:before="0" w:after="0" w:line="240" w:lineRule="auto"/>
      </w:pPr>
      <w:rPr>
        <w:b/>
        <w:bCs/>
      </w:rPr>
      <w:tblPr/>
      <w:tcPr>
        <w:tcBorders>
          <w:top w:val="double" w:sz="6" w:space="0" w:color="7A8C8E" w:themeColor="accent4"/>
          <w:left w:val="single" w:sz="8" w:space="0" w:color="7A8C8E" w:themeColor="accent4"/>
          <w:bottom w:val="single" w:sz="8" w:space="0" w:color="7A8C8E" w:themeColor="accent4"/>
          <w:right w:val="single" w:sz="8" w:space="0" w:color="7A8C8E" w:themeColor="accent4"/>
        </w:tcBorders>
      </w:tcPr>
    </w:tblStylePr>
    <w:tblStylePr w:type="firstCol">
      <w:rPr>
        <w:b/>
        <w:bCs/>
      </w:rPr>
    </w:tblStylePr>
    <w:tblStylePr w:type="lastCol">
      <w:rPr>
        <w:b/>
        <w:bCs/>
      </w:rPr>
    </w:tblStylePr>
    <w:tblStylePr w:type="band1Vert">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tblStylePr w:type="band1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tblBorders>
    </w:tblPr>
    <w:tblStylePr w:type="firstRow">
      <w:pPr>
        <w:spacing w:before="0" w:after="0" w:line="240" w:lineRule="auto"/>
      </w:pPr>
      <w:rPr>
        <w:b/>
        <w:bCs/>
        <w:color w:val="FFFFFF" w:themeColor="background1"/>
      </w:rPr>
      <w:tblPr/>
      <w:tcPr>
        <w:shd w:val="clear" w:color="auto" w:fill="84ACB6" w:themeFill="accent5"/>
      </w:tcPr>
    </w:tblStylePr>
    <w:tblStylePr w:type="lastRow">
      <w:pPr>
        <w:spacing w:before="0" w:after="0" w:line="240" w:lineRule="auto"/>
      </w:pPr>
      <w:rPr>
        <w:b/>
        <w:bCs/>
      </w:rPr>
      <w:tblPr/>
      <w:tcPr>
        <w:tcBorders>
          <w:top w:val="double" w:sz="6" w:space="0" w:color="84ACB6" w:themeColor="accent5"/>
          <w:left w:val="single" w:sz="8" w:space="0" w:color="84ACB6" w:themeColor="accent5"/>
          <w:bottom w:val="single" w:sz="8" w:space="0" w:color="84ACB6" w:themeColor="accent5"/>
          <w:right w:val="single" w:sz="8" w:space="0" w:color="84ACB6" w:themeColor="accent5"/>
        </w:tcBorders>
      </w:tcPr>
    </w:tblStylePr>
    <w:tblStylePr w:type="firstCol">
      <w:rPr>
        <w:b/>
        <w:bCs/>
      </w:rPr>
    </w:tblStylePr>
    <w:tblStylePr w:type="lastCol">
      <w:rPr>
        <w:b/>
        <w:bCs/>
      </w:rPr>
    </w:tblStylePr>
    <w:tblStylePr w:type="band1Vert">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tblStylePr w:type="band1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tblBorders>
    </w:tblPr>
    <w:tblStylePr w:type="firstRow">
      <w:pPr>
        <w:spacing w:before="0" w:after="0" w:line="240" w:lineRule="auto"/>
      </w:pPr>
      <w:rPr>
        <w:b/>
        <w:bCs/>
        <w:color w:val="FFFFFF" w:themeColor="background1"/>
      </w:rPr>
      <w:tblPr/>
      <w:tcPr>
        <w:shd w:val="clear" w:color="auto" w:fill="2683C6" w:themeFill="accent6"/>
      </w:tcPr>
    </w:tblStylePr>
    <w:tblStylePr w:type="lastRow">
      <w:pPr>
        <w:spacing w:before="0" w:after="0" w:line="240" w:lineRule="auto"/>
      </w:pPr>
      <w:rPr>
        <w:b/>
        <w:bCs/>
      </w:rPr>
      <w:tblPr/>
      <w:tcPr>
        <w:tcBorders>
          <w:top w:val="double" w:sz="6" w:space="0" w:color="2683C6" w:themeColor="accent6"/>
          <w:left w:val="single" w:sz="8" w:space="0" w:color="2683C6" w:themeColor="accent6"/>
          <w:bottom w:val="single" w:sz="8" w:space="0" w:color="2683C6" w:themeColor="accent6"/>
          <w:right w:val="single" w:sz="8" w:space="0" w:color="2683C6" w:themeColor="accent6"/>
        </w:tcBorders>
      </w:tcPr>
    </w:tblStylePr>
    <w:tblStylePr w:type="firstCol">
      <w:rPr>
        <w:b/>
        <w:bCs/>
      </w:rPr>
    </w:tblStylePr>
    <w:tblStylePr w:type="lastCol">
      <w:rPr>
        <w:b/>
        <w:bCs/>
      </w:rPr>
    </w:tblStylePr>
    <w:tblStylePr w:type="band1Vert">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tblStylePr w:type="band1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insideH w:val="single" w:sz="8" w:space="0" w:color="3494BA" w:themeColor="accent1"/>
        <w:insideV w:val="single" w:sz="8" w:space="0" w:color="3494BA"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494BA" w:themeColor="accent1"/>
          <w:left w:val="single" w:sz="8" w:space="0" w:color="3494BA" w:themeColor="accent1"/>
          <w:bottom w:val="single" w:sz="18" w:space="0" w:color="3494BA" w:themeColor="accent1"/>
          <w:right w:val="single" w:sz="8" w:space="0" w:color="3494BA" w:themeColor="accent1"/>
          <w:insideH w:val="nil"/>
          <w:insideV w:val="single" w:sz="8" w:space="0" w:color="3494BA"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494BA" w:themeColor="accent1"/>
          <w:left w:val="single" w:sz="8" w:space="0" w:color="3494BA" w:themeColor="accent1"/>
          <w:bottom w:val="single" w:sz="8" w:space="0" w:color="3494BA" w:themeColor="accent1"/>
          <w:right w:val="single" w:sz="8" w:space="0" w:color="3494BA" w:themeColor="accent1"/>
          <w:insideH w:val="nil"/>
          <w:insideV w:val="single" w:sz="8" w:space="0" w:color="3494B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tblStylePr w:type="band1Vert">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shd w:val="clear" w:color="auto" w:fill="CAE5F0" w:themeFill="accent1" w:themeFillTint="3F"/>
      </w:tcPr>
    </w:tblStylePr>
    <w:tblStylePr w:type="band1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insideV w:val="single" w:sz="8" w:space="0" w:color="3494BA" w:themeColor="accent1"/>
        </w:tcBorders>
        <w:shd w:val="clear" w:color="auto" w:fill="CAE5F0" w:themeFill="accent1" w:themeFillTint="3F"/>
      </w:tcPr>
    </w:tblStylePr>
    <w:tblStylePr w:type="band2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insideV w:val="single" w:sz="8" w:space="0" w:color="3494BA"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insideH w:val="single" w:sz="8" w:space="0" w:color="58B6C0" w:themeColor="accent2"/>
        <w:insideV w:val="single" w:sz="8" w:space="0" w:color="58B6C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8B6C0" w:themeColor="accent2"/>
          <w:left w:val="single" w:sz="8" w:space="0" w:color="58B6C0" w:themeColor="accent2"/>
          <w:bottom w:val="single" w:sz="18" w:space="0" w:color="58B6C0" w:themeColor="accent2"/>
          <w:right w:val="single" w:sz="8" w:space="0" w:color="58B6C0" w:themeColor="accent2"/>
          <w:insideH w:val="nil"/>
          <w:insideV w:val="single" w:sz="8" w:space="0" w:color="58B6C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8B6C0" w:themeColor="accent2"/>
          <w:left w:val="single" w:sz="8" w:space="0" w:color="58B6C0" w:themeColor="accent2"/>
          <w:bottom w:val="single" w:sz="8" w:space="0" w:color="58B6C0" w:themeColor="accent2"/>
          <w:right w:val="single" w:sz="8" w:space="0" w:color="58B6C0" w:themeColor="accent2"/>
          <w:insideH w:val="nil"/>
          <w:insideV w:val="single" w:sz="8" w:space="0" w:color="58B6C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tblStylePr w:type="band1Vert">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shd w:val="clear" w:color="auto" w:fill="D5ECEF" w:themeFill="accent2" w:themeFillTint="3F"/>
      </w:tcPr>
    </w:tblStylePr>
    <w:tblStylePr w:type="band1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insideV w:val="single" w:sz="8" w:space="0" w:color="58B6C0" w:themeColor="accent2"/>
        </w:tcBorders>
        <w:shd w:val="clear" w:color="auto" w:fill="D5ECEF" w:themeFill="accent2" w:themeFillTint="3F"/>
      </w:tcPr>
    </w:tblStylePr>
    <w:tblStylePr w:type="band2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insideV w:val="single" w:sz="8" w:space="0" w:color="58B6C0"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insideH w:val="single" w:sz="8" w:space="0" w:color="75BDA7" w:themeColor="accent3"/>
        <w:insideV w:val="single" w:sz="8" w:space="0" w:color="75BDA7"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5BDA7" w:themeColor="accent3"/>
          <w:left w:val="single" w:sz="8" w:space="0" w:color="75BDA7" w:themeColor="accent3"/>
          <w:bottom w:val="single" w:sz="18" w:space="0" w:color="75BDA7" w:themeColor="accent3"/>
          <w:right w:val="single" w:sz="8" w:space="0" w:color="75BDA7" w:themeColor="accent3"/>
          <w:insideH w:val="nil"/>
          <w:insideV w:val="single" w:sz="8" w:space="0" w:color="75BDA7"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5BDA7" w:themeColor="accent3"/>
          <w:left w:val="single" w:sz="8" w:space="0" w:color="75BDA7" w:themeColor="accent3"/>
          <w:bottom w:val="single" w:sz="8" w:space="0" w:color="75BDA7" w:themeColor="accent3"/>
          <w:right w:val="single" w:sz="8" w:space="0" w:color="75BDA7" w:themeColor="accent3"/>
          <w:insideH w:val="nil"/>
          <w:insideV w:val="single" w:sz="8" w:space="0" w:color="75BDA7"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tblStylePr w:type="band1Vert">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shd w:val="clear" w:color="auto" w:fill="DCEEE9" w:themeFill="accent3" w:themeFillTint="3F"/>
      </w:tcPr>
    </w:tblStylePr>
    <w:tblStylePr w:type="band1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insideV w:val="single" w:sz="8" w:space="0" w:color="75BDA7" w:themeColor="accent3"/>
        </w:tcBorders>
        <w:shd w:val="clear" w:color="auto" w:fill="DCEEE9" w:themeFill="accent3" w:themeFillTint="3F"/>
      </w:tcPr>
    </w:tblStylePr>
    <w:tblStylePr w:type="band2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insideV w:val="single" w:sz="8" w:space="0" w:color="75BDA7"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insideH w:val="single" w:sz="8" w:space="0" w:color="7A8C8E" w:themeColor="accent4"/>
        <w:insideV w:val="single" w:sz="8" w:space="0" w:color="7A8C8E"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A8C8E" w:themeColor="accent4"/>
          <w:left w:val="single" w:sz="8" w:space="0" w:color="7A8C8E" w:themeColor="accent4"/>
          <w:bottom w:val="single" w:sz="18" w:space="0" w:color="7A8C8E" w:themeColor="accent4"/>
          <w:right w:val="single" w:sz="8" w:space="0" w:color="7A8C8E" w:themeColor="accent4"/>
          <w:insideH w:val="nil"/>
          <w:insideV w:val="single" w:sz="8" w:space="0" w:color="7A8C8E"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8C8E" w:themeColor="accent4"/>
          <w:left w:val="single" w:sz="8" w:space="0" w:color="7A8C8E" w:themeColor="accent4"/>
          <w:bottom w:val="single" w:sz="8" w:space="0" w:color="7A8C8E" w:themeColor="accent4"/>
          <w:right w:val="single" w:sz="8" w:space="0" w:color="7A8C8E" w:themeColor="accent4"/>
          <w:insideH w:val="nil"/>
          <w:insideV w:val="single" w:sz="8" w:space="0" w:color="7A8C8E"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tblStylePr w:type="band1Vert">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shd w:val="clear" w:color="auto" w:fill="DEE2E3" w:themeFill="accent4" w:themeFillTint="3F"/>
      </w:tcPr>
    </w:tblStylePr>
    <w:tblStylePr w:type="band1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insideV w:val="single" w:sz="8" w:space="0" w:color="7A8C8E" w:themeColor="accent4"/>
        </w:tcBorders>
        <w:shd w:val="clear" w:color="auto" w:fill="DEE2E3" w:themeFill="accent4" w:themeFillTint="3F"/>
      </w:tcPr>
    </w:tblStylePr>
    <w:tblStylePr w:type="band2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insideV w:val="single" w:sz="8" w:space="0" w:color="7A8C8E"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insideH w:val="single" w:sz="8" w:space="0" w:color="84ACB6" w:themeColor="accent5"/>
        <w:insideV w:val="single" w:sz="8" w:space="0" w:color="84ACB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4ACB6" w:themeColor="accent5"/>
          <w:left w:val="single" w:sz="8" w:space="0" w:color="84ACB6" w:themeColor="accent5"/>
          <w:bottom w:val="single" w:sz="18" w:space="0" w:color="84ACB6" w:themeColor="accent5"/>
          <w:right w:val="single" w:sz="8" w:space="0" w:color="84ACB6" w:themeColor="accent5"/>
          <w:insideH w:val="nil"/>
          <w:insideV w:val="single" w:sz="8" w:space="0" w:color="84ACB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4ACB6" w:themeColor="accent5"/>
          <w:left w:val="single" w:sz="8" w:space="0" w:color="84ACB6" w:themeColor="accent5"/>
          <w:bottom w:val="single" w:sz="8" w:space="0" w:color="84ACB6" w:themeColor="accent5"/>
          <w:right w:val="single" w:sz="8" w:space="0" w:color="84ACB6" w:themeColor="accent5"/>
          <w:insideH w:val="nil"/>
          <w:insideV w:val="single" w:sz="8" w:space="0" w:color="84ACB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tblStylePr w:type="band1Vert">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shd w:val="clear" w:color="auto" w:fill="E0EAED" w:themeFill="accent5" w:themeFillTint="3F"/>
      </w:tcPr>
    </w:tblStylePr>
    <w:tblStylePr w:type="band1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insideV w:val="single" w:sz="8" w:space="0" w:color="84ACB6" w:themeColor="accent5"/>
        </w:tcBorders>
        <w:shd w:val="clear" w:color="auto" w:fill="E0EAED" w:themeFill="accent5" w:themeFillTint="3F"/>
      </w:tcPr>
    </w:tblStylePr>
    <w:tblStylePr w:type="band2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insideV w:val="single" w:sz="8" w:space="0" w:color="84ACB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insideH w:val="single" w:sz="8" w:space="0" w:color="2683C6" w:themeColor="accent6"/>
        <w:insideV w:val="single" w:sz="8" w:space="0" w:color="2683C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683C6" w:themeColor="accent6"/>
          <w:left w:val="single" w:sz="8" w:space="0" w:color="2683C6" w:themeColor="accent6"/>
          <w:bottom w:val="single" w:sz="18" w:space="0" w:color="2683C6" w:themeColor="accent6"/>
          <w:right w:val="single" w:sz="8" w:space="0" w:color="2683C6" w:themeColor="accent6"/>
          <w:insideH w:val="nil"/>
          <w:insideV w:val="single" w:sz="8" w:space="0" w:color="2683C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683C6" w:themeColor="accent6"/>
          <w:left w:val="single" w:sz="8" w:space="0" w:color="2683C6" w:themeColor="accent6"/>
          <w:bottom w:val="single" w:sz="8" w:space="0" w:color="2683C6" w:themeColor="accent6"/>
          <w:right w:val="single" w:sz="8" w:space="0" w:color="2683C6" w:themeColor="accent6"/>
          <w:insideH w:val="nil"/>
          <w:insideV w:val="single" w:sz="8" w:space="0" w:color="2683C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tblStylePr w:type="band1Vert">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shd w:val="clear" w:color="auto" w:fill="C5E0F4" w:themeFill="accent6" w:themeFillTint="3F"/>
      </w:tcPr>
    </w:tblStylePr>
    <w:tblStylePr w:type="band1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insideV w:val="single" w:sz="8" w:space="0" w:color="2683C6" w:themeColor="accent6"/>
        </w:tcBorders>
        <w:shd w:val="clear" w:color="auto" w:fill="C5E0F4" w:themeFill="accent6" w:themeFillTint="3F"/>
      </w:tcPr>
    </w:tblStylePr>
    <w:tblStylePr w:type="band2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insideV w:val="single" w:sz="8" w:space="0" w:color="2683C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single" w:sz="8" w:space="0" w:color="5FB1D2" w:themeColor="accent1" w:themeTint="BF"/>
      </w:tblBorders>
    </w:tblPr>
    <w:tblStylePr w:type="firstRow">
      <w:pPr>
        <w:spacing w:before="0" w:after="0" w:line="240" w:lineRule="auto"/>
      </w:pPr>
      <w:rPr>
        <w:b/>
        <w:bCs/>
        <w:color w:val="FFFFFF" w:themeColor="background1"/>
      </w:rPr>
      <w:tblPr/>
      <w:tcPr>
        <w:tc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nil"/>
          <w:insideV w:val="nil"/>
        </w:tcBorders>
        <w:shd w:val="clear" w:color="auto" w:fill="3494BA" w:themeFill="accent1"/>
      </w:tcPr>
    </w:tblStylePr>
    <w:tblStylePr w:type="lastRow">
      <w:pPr>
        <w:spacing w:before="0" w:after="0" w:line="240" w:lineRule="auto"/>
      </w:pPr>
      <w:rPr>
        <w:b/>
        <w:bCs/>
      </w:rPr>
      <w:tblPr/>
      <w:tcPr>
        <w:tcBorders>
          <w:top w:val="double" w:sz="6"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AE5F0" w:themeFill="accent1" w:themeFillTint="3F"/>
      </w:tcPr>
    </w:tblStylePr>
    <w:tblStylePr w:type="band1Horz">
      <w:tblPr/>
      <w:tcPr>
        <w:tcBorders>
          <w:insideH w:val="nil"/>
          <w:insideV w:val="nil"/>
        </w:tcBorders>
        <w:shd w:val="clear" w:color="auto" w:fill="CAE5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single" w:sz="8" w:space="0" w:color="81C8CF" w:themeColor="accent2" w:themeTint="BF"/>
      </w:tblBorders>
    </w:tblPr>
    <w:tblStylePr w:type="firstRow">
      <w:pPr>
        <w:spacing w:before="0" w:after="0" w:line="240" w:lineRule="auto"/>
      </w:pPr>
      <w:rPr>
        <w:b/>
        <w:bCs/>
        <w:color w:val="FFFFFF" w:themeColor="background1"/>
      </w:rPr>
      <w:tblPr/>
      <w:tcPr>
        <w:tc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nil"/>
          <w:insideV w:val="nil"/>
        </w:tcBorders>
        <w:shd w:val="clear" w:color="auto" w:fill="58B6C0" w:themeFill="accent2"/>
      </w:tcPr>
    </w:tblStylePr>
    <w:tblStylePr w:type="lastRow">
      <w:pPr>
        <w:spacing w:before="0" w:after="0" w:line="240" w:lineRule="auto"/>
      </w:pPr>
      <w:rPr>
        <w:b/>
        <w:bCs/>
      </w:rPr>
      <w:tblPr/>
      <w:tcPr>
        <w:tcBorders>
          <w:top w:val="double" w:sz="6"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nil"/>
          <w:insideV w:val="nil"/>
        </w:tcBorders>
      </w:tcPr>
    </w:tblStylePr>
    <w:tblStylePr w:type="firstCol">
      <w:rPr>
        <w:b/>
        <w:bCs/>
      </w:rPr>
    </w:tblStylePr>
    <w:tblStylePr w:type="lastCol">
      <w:rPr>
        <w:b/>
        <w:bCs/>
      </w:rPr>
    </w:tblStylePr>
    <w:tblStylePr w:type="band1Vert">
      <w:tblPr/>
      <w:tcPr>
        <w:shd w:val="clear" w:color="auto" w:fill="D5ECEF" w:themeFill="accent2" w:themeFillTint="3F"/>
      </w:tcPr>
    </w:tblStylePr>
    <w:tblStylePr w:type="band1Horz">
      <w:tblPr/>
      <w:tcPr>
        <w:tcBorders>
          <w:insideH w:val="nil"/>
          <w:insideV w:val="nil"/>
        </w:tcBorders>
        <w:shd w:val="clear" w:color="auto" w:fill="D5ECE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single" w:sz="8" w:space="0" w:color="97CDBC" w:themeColor="accent3" w:themeTint="BF"/>
      </w:tblBorders>
    </w:tblPr>
    <w:tblStylePr w:type="firstRow">
      <w:pPr>
        <w:spacing w:before="0" w:after="0" w:line="240" w:lineRule="auto"/>
      </w:pPr>
      <w:rPr>
        <w:b/>
        <w:bCs/>
        <w:color w:val="FFFFFF" w:themeColor="background1"/>
      </w:rPr>
      <w:tblPr/>
      <w:tcPr>
        <w:tc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nil"/>
          <w:insideV w:val="nil"/>
        </w:tcBorders>
        <w:shd w:val="clear" w:color="auto" w:fill="75BDA7" w:themeFill="accent3"/>
      </w:tcPr>
    </w:tblStylePr>
    <w:tblStylePr w:type="lastRow">
      <w:pPr>
        <w:spacing w:before="0" w:after="0" w:line="240" w:lineRule="auto"/>
      </w:pPr>
      <w:rPr>
        <w:b/>
        <w:bCs/>
      </w:rPr>
      <w:tblPr/>
      <w:tcPr>
        <w:tcBorders>
          <w:top w:val="double" w:sz="6"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nil"/>
          <w:insideV w:val="nil"/>
        </w:tcBorders>
      </w:tcPr>
    </w:tblStylePr>
    <w:tblStylePr w:type="firstCol">
      <w:rPr>
        <w:b/>
        <w:bCs/>
      </w:rPr>
    </w:tblStylePr>
    <w:tblStylePr w:type="lastCol">
      <w:rPr>
        <w:b/>
        <w:bCs/>
      </w:rPr>
    </w:tblStylePr>
    <w:tblStylePr w:type="band1Vert">
      <w:tblPr/>
      <w:tcPr>
        <w:shd w:val="clear" w:color="auto" w:fill="DCEEE9" w:themeFill="accent3" w:themeFillTint="3F"/>
      </w:tcPr>
    </w:tblStylePr>
    <w:tblStylePr w:type="band1Horz">
      <w:tblPr/>
      <w:tcPr>
        <w:tcBorders>
          <w:insideH w:val="nil"/>
          <w:insideV w:val="nil"/>
        </w:tcBorders>
        <w:shd w:val="clear" w:color="auto" w:fill="DCEEE9"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single" w:sz="8" w:space="0" w:color="9BA8AA" w:themeColor="accent4" w:themeTint="BF"/>
      </w:tblBorders>
    </w:tblPr>
    <w:tblStylePr w:type="firstRow">
      <w:pPr>
        <w:spacing w:before="0" w:after="0" w:line="240" w:lineRule="auto"/>
      </w:pPr>
      <w:rPr>
        <w:b/>
        <w:bCs/>
        <w:color w:val="FFFFFF" w:themeColor="background1"/>
      </w:rPr>
      <w:tblPr/>
      <w:tcPr>
        <w:tc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nil"/>
          <w:insideV w:val="nil"/>
        </w:tcBorders>
        <w:shd w:val="clear" w:color="auto" w:fill="7A8C8E" w:themeFill="accent4"/>
      </w:tcPr>
    </w:tblStylePr>
    <w:tblStylePr w:type="lastRow">
      <w:pPr>
        <w:spacing w:before="0" w:after="0" w:line="240" w:lineRule="auto"/>
      </w:pPr>
      <w:rPr>
        <w:b/>
        <w:bCs/>
      </w:rPr>
      <w:tblPr/>
      <w:tcPr>
        <w:tcBorders>
          <w:top w:val="double" w:sz="6"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nil"/>
          <w:insideV w:val="nil"/>
        </w:tcBorders>
      </w:tcPr>
    </w:tblStylePr>
    <w:tblStylePr w:type="firstCol">
      <w:rPr>
        <w:b/>
        <w:bCs/>
      </w:rPr>
    </w:tblStylePr>
    <w:tblStylePr w:type="lastCol">
      <w:rPr>
        <w:b/>
        <w:bCs/>
      </w:rPr>
    </w:tblStylePr>
    <w:tblStylePr w:type="band1Vert">
      <w:tblPr/>
      <w:tcPr>
        <w:shd w:val="clear" w:color="auto" w:fill="DEE2E3" w:themeFill="accent4" w:themeFillTint="3F"/>
      </w:tcPr>
    </w:tblStylePr>
    <w:tblStylePr w:type="band1Horz">
      <w:tblPr/>
      <w:tcPr>
        <w:tcBorders>
          <w:insideH w:val="nil"/>
          <w:insideV w:val="nil"/>
        </w:tcBorders>
        <w:shd w:val="clear" w:color="auto" w:fill="DEE2E3"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single" w:sz="8" w:space="0" w:color="A2C0C8" w:themeColor="accent5" w:themeTint="BF"/>
      </w:tblBorders>
    </w:tblPr>
    <w:tblStylePr w:type="firstRow">
      <w:pPr>
        <w:spacing w:before="0" w:after="0" w:line="240" w:lineRule="auto"/>
      </w:pPr>
      <w:rPr>
        <w:b/>
        <w:bCs/>
        <w:color w:val="FFFFFF" w:themeColor="background1"/>
      </w:rPr>
      <w:tblPr/>
      <w:tcPr>
        <w:tc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nil"/>
          <w:insideV w:val="nil"/>
        </w:tcBorders>
        <w:shd w:val="clear" w:color="auto" w:fill="84ACB6" w:themeFill="accent5"/>
      </w:tcPr>
    </w:tblStylePr>
    <w:tblStylePr w:type="lastRow">
      <w:pPr>
        <w:spacing w:before="0" w:after="0" w:line="240" w:lineRule="auto"/>
      </w:pPr>
      <w:rPr>
        <w:b/>
        <w:bCs/>
      </w:rPr>
      <w:tblPr/>
      <w:tcPr>
        <w:tcBorders>
          <w:top w:val="double" w:sz="6"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nil"/>
          <w:insideV w:val="nil"/>
        </w:tcBorders>
      </w:tcPr>
    </w:tblStylePr>
    <w:tblStylePr w:type="firstCol">
      <w:rPr>
        <w:b/>
        <w:bCs/>
      </w:rPr>
    </w:tblStylePr>
    <w:tblStylePr w:type="lastCol">
      <w:rPr>
        <w:b/>
        <w:bCs/>
      </w:rPr>
    </w:tblStylePr>
    <w:tblStylePr w:type="band1Vert">
      <w:tblPr/>
      <w:tcPr>
        <w:shd w:val="clear" w:color="auto" w:fill="E0EAED" w:themeFill="accent5" w:themeFillTint="3F"/>
      </w:tcPr>
    </w:tblStylePr>
    <w:tblStylePr w:type="band1Horz">
      <w:tblPr/>
      <w:tcPr>
        <w:tcBorders>
          <w:insideH w:val="nil"/>
          <w:insideV w:val="nil"/>
        </w:tcBorders>
        <w:shd w:val="clear" w:color="auto" w:fill="E0EAE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single" w:sz="8" w:space="0" w:color="52A3DE" w:themeColor="accent6" w:themeTint="BF"/>
      </w:tblBorders>
    </w:tblPr>
    <w:tblStylePr w:type="firstRow">
      <w:pPr>
        <w:spacing w:before="0" w:after="0" w:line="240" w:lineRule="auto"/>
      </w:pPr>
      <w:rPr>
        <w:b/>
        <w:bCs/>
        <w:color w:val="FFFFFF" w:themeColor="background1"/>
      </w:rPr>
      <w:tblPr/>
      <w:tcPr>
        <w:tc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nil"/>
          <w:insideV w:val="nil"/>
        </w:tcBorders>
        <w:shd w:val="clear" w:color="auto" w:fill="2683C6" w:themeFill="accent6"/>
      </w:tcPr>
    </w:tblStylePr>
    <w:tblStylePr w:type="lastRow">
      <w:pPr>
        <w:spacing w:before="0" w:after="0" w:line="240" w:lineRule="auto"/>
      </w:pPr>
      <w:rPr>
        <w:b/>
        <w:bCs/>
      </w:rPr>
      <w:tblPr/>
      <w:tcPr>
        <w:tcBorders>
          <w:top w:val="double" w:sz="6"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nil"/>
          <w:insideV w:val="nil"/>
        </w:tcBorders>
      </w:tcPr>
    </w:tblStylePr>
    <w:tblStylePr w:type="firstCol">
      <w:rPr>
        <w:b/>
        <w:bCs/>
      </w:rPr>
    </w:tblStylePr>
    <w:tblStylePr w:type="lastCol">
      <w:rPr>
        <w:b/>
        <w:bCs/>
      </w:rPr>
    </w:tblStylePr>
    <w:tblStylePr w:type="band1Vert">
      <w:tblPr/>
      <w:tcPr>
        <w:shd w:val="clear" w:color="auto" w:fill="C5E0F4" w:themeFill="accent6" w:themeFillTint="3F"/>
      </w:tcPr>
    </w:tblStylePr>
    <w:tblStylePr w:type="band1Horz">
      <w:tblPr/>
      <w:tcPr>
        <w:tcBorders>
          <w:insideH w:val="nil"/>
          <w:insideV w:val="nil"/>
        </w:tcBorders>
        <w:shd w:val="clear" w:color="auto" w:fill="C5E0F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494BA"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494BA" w:themeFill="accent1"/>
      </w:tcPr>
    </w:tblStylePr>
    <w:tblStylePr w:type="lastCol">
      <w:rPr>
        <w:b/>
        <w:bCs/>
        <w:color w:val="FFFFFF" w:themeColor="background1"/>
      </w:rPr>
      <w:tblPr/>
      <w:tcPr>
        <w:tcBorders>
          <w:left w:val="nil"/>
          <w:right w:val="nil"/>
          <w:insideH w:val="nil"/>
          <w:insideV w:val="nil"/>
        </w:tcBorders>
        <w:shd w:val="clear" w:color="auto" w:fill="3494BA"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8B6C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8B6C0" w:themeFill="accent2"/>
      </w:tcPr>
    </w:tblStylePr>
    <w:tblStylePr w:type="lastCol">
      <w:rPr>
        <w:b/>
        <w:bCs/>
        <w:color w:val="FFFFFF" w:themeColor="background1"/>
      </w:rPr>
      <w:tblPr/>
      <w:tcPr>
        <w:tcBorders>
          <w:left w:val="nil"/>
          <w:right w:val="nil"/>
          <w:insideH w:val="nil"/>
          <w:insideV w:val="nil"/>
        </w:tcBorders>
        <w:shd w:val="clear" w:color="auto" w:fill="58B6C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5BDA7"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5BDA7" w:themeFill="accent3"/>
      </w:tcPr>
    </w:tblStylePr>
    <w:tblStylePr w:type="lastCol">
      <w:rPr>
        <w:b/>
        <w:bCs/>
        <w:color w:val="FFFFFF" w:themeColor="background1"/>
      </w:rPr>
      <w:tblPr/>
      <w:tcPr>
        <w:tcBorders>
          <w:left w:val="nil"/>
          <w:right w:val="nil"/>
          <w:insideH w:val="nil"/>
          <w:insideV w:val="nil"/>
        </w:tcBorders>
        <w:shd w:val="clear" w:color="auto" w:fill="75BDA7"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8C8E"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A8C8E" w:themeFill="accent4"/>
      </w:tcPr>
    </w:tblStylePr>
    <w:tblStylePr w:type="lastCol">
      <w:rPr>
        <w:b/>
        <w:bCs/>
        <w:color w:val="FFFFFF" w:themeColor="background1"/>
      </w:rPr>
      <w:tblPr/>
      <w:tcPr>
        <w:tcBorders>
          <w:left w:val="nil"/>
          <w:right w:val="nil"/>
          <w:insideH w:val="nil"/>
          <w:insideV w:val="nil"/>
        </w:tcBorders>
        <w:shd w:val="clear" w:color="auto" w:fill="7A8C8E"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4ACB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4ACB6" w:themeFill="accent5"/>
      </w:tcPr>
    </w:tblStylePr>
    <w:tblStylePr w:type="lastCol">
      <w:rPr>
        <w:b/>
        <w:bCs/>
        <w:color w:val="FFFFFF" w:themeColor="background1"/>
      </w:rPr>
      <w:tblPr/>
      <w:tcPr>
        <w:tcBorders>
          <w:left w:val="nil"/>
          <w:right w:val="nil"/>
          <w:insideH w:val="nil"/>
          <w:insideV w:val="nil"/>
        </w:tcBorders>
        <w:shd w:val="clear" w:color="auto" w:fill="84ACB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683C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683C6" w:themeFill="accent6"/>
      </w:tcPr>
    </w:tblStylePr>
    <w:tblStylePr w:type="lastCol">
      <w:rPr>
        <w:b/>
        <w:bCs/>
        <w:color w:val="FFFFFF" w:themeColor="background1"/>
      </w:rPr>
      <w:tblPr/>
      <w:tcPr>
        <w:tcBorders>
          <w:left w:val="nil"/>
          <w:right w:val="nil"/>
          <w:insideH w:val="nil"/>
          <w:insideV w:val="nil"/>
        </w:tcBorders>
        <w:shd w:val="clear" w:color="auto" w:fill="2683C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73545"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3494BA" w:themeColor="accent1"/>
        <w:bottom w:val="single" w:sz="8" w:space="0" w:color="3494BA" w:themeColor="accent1"/>
      </w:tblBorders>
    </w:tblPr>
    <w:tblStylePr w:type="firstRow">
      <w:rPr>
        <w:rFonts w:asciiTheme="majorHAnsi" w:eastAsiaTheme="majorEastAsia" w:hAnsiTheme="majorHAnsi" w:cstheme="majorBidi"/>
      </w:rPr>
      <w:tblPr/>
      <w:tcPr>
        <w:tcBorders>
          <w:top w:val="nil"/>
          <w:bottom w:val="single" w:sz="8" w:space="0" w:color="3494BA" w:themeColor="accent1"/>
        </w:tcBorders>
      </w:tcPr>
    </w:tblStylePr>
    <w:tblStylePr w:type="lastRow">
      <w:rPr>
        <w:b/>
        <w:bCs/>
        <w:color w:val="373545" w:themeColor="text2"/>
      </w:rPr>
      <w:tblPr/>
      <w:tcPr>
        <w:tcBorders>
          <w:top w:val="single" w:sz="8" w:space="0" w:color="3494BA" w:themeColor="accent1"/>
          <w:bottom w:val="single" w:sz="8" w:space="0" w:color="3494BA" w:themeColor="accent1"/>
        </w:tcBorders>
      </w:tcPr>
    </w:tblStylePr>
    <w:tblStylePr w:type="firstCol">
      <w:rPr>
        <w:b/>
        <w:bCs/>
      </w:rPr>
    </w:tblStylePr>
    <w:tblStylePr w:type="lastCol">
      <w:rPr>
        <w:b/>
        <w:bCs/>
      </w:rPr>
      <w:tblPr/>
      <w:tcPr>
        <w:tcBorders>
          <w:top w:val="single" w:sz="8" w:space="0" w:color="3494BA" w:themeColor="accent1"/>
          <w:bottom w:val="single" w:sz="8" w:space="0" w:color="3494BA" w:themeColor="accent1"/>
        </w:tcBorders>
      </w:tcPr>
    </w:tblStylePr>
    <w:tblStylePr w:type="band1Vert">
      <w:tblPr/>
      <w:tcPr>
        <w:shd w:val="clear" w:color="auto" w:fill="CAE5F0" w:themeFill="accent1" w:themeFillTint="3F"/>
      </w:tcPr>
    </w:tblStylePr>
    <w:tblStylePr w:type="band1Horz">
      <w:tblPr/>
      <w:tcPr>
        <w:shd w:val="clear" w:color="auto" w:fill="CAE5F0"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58B6C0" w:themeColor="accent2"/>
        <w:bottom w:val="single" w:sz="8" w:space="0" w:color="58B6C0" w:themeColor="accent2"/>
      </w:tblBorders>
    </w:tblPr>
    <w:tblStylePr w:type="firstRow">
      <w:rPr>
        <w:rFonts w:asciiTheme="majorHAnsi" w:eastAsiaTheme="majorEastAsia" w:hAnsiTheme="majorHAnsi" w:cstheme="majorBidi"/>
      </w:rPr>
      <w:tblPr/>
      <w:tcPr>
        <w:tcBorders>
          <w:top w:val="nil"/>
          <w:bottom w:val="single" w:sz="8" w:space="0" w:color="58B6C0" w:themeColor="accent2"/>
        </w:tcBorders>
      </w:tcPr>
    </w:tblStylePr>
    <w:tblStylePr w:type="lastRow">
      <w:rPr>
        <w:b/>
        <w:bCs/>
        <w:color w:val="373545" w:themeColor="text2"/>
      </w:rPr>
      <w:tblPr/>
      <w:tcPr>
        <w:tcBorders>
          <w:top w:val="single" w:sz="8" w:space="0" w:color="58B6C0" w:themeColor="accent2"/>
          <w:bottom w:val="single" w:sz="8" w:space="0" w:color="58B6C0" w:themeColor="accent2"/>
        </w:tcBorders>
      </w:tcPr>
    </w:tblStylePr>
    <w:tblStylePr w:type="firstCol">
      <w:rPr>
        <w:b/>
        <w:bCs/>
      </w:rPr>
    </w:tblStylePr>
    <w:tblStylePr w:type="lastCol">
      <w:rPr>
        <w:b/>
        <w:bCs/>
      </w:rPr>
      <w:tblPr/>
      <w:tcPr>
        <w:tcBorders>
          <w:top w:val="single" w:sz="8" w:space="0" w:color="58B6C0" w:themeColor="accent2"/>
          <w:bottom w:val="single" w:sz="8" w:space="0" w:color="58B6C0" w:themeColor="accent2"/>
        </w:tcBorders>
      </w:tcPr>
    </w:tblStylePr>
    <w:tblStylePr w:type="band1Vert">
      <w:tblPr/>
      <w:tcPr>
        <w:shd w:val="clear" w:color="auto" w:fill="D5ECEF" w:themeFill="accent2" w:themeFillTint="3F"/>
      </w:tcPr>
    </w:tblStylePr>
    <w:tblStylePr w:type="band1Horz">
      <w:tblPr/>
      <w:tcPr>
        <w:shd w:val="clear" w:color="auto" w:fill="D5ECEF"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75BDA7" w:themeColor="accent3"/>
        <w:bottom w:val="single" w:sz="8" w:space="0" w:color="75BDA7" w:themeColor="accent3"/>
      </w:tblBorders>
    </w:tblPr>
    <w:tblStylePr w:type="firstRow">
      <w:rPr>
        <w:rFonts w:asciiTheme="majorHAnsi" w:eastAsiaTheme="majorEastAsia" w:hAnsiTheme="majorHAnsi" w:cstheme="majorBidi"/>
      </w:rPr>
      <w:tblPr/>
      <w:tcPr>
        <w:tcBorders>
          <w:top w:val="nil"/>
          <w:bottom w:val="single" w:sz="8" w:space="0" w:color="75BDA7" w:themeColor="accent3"/>
        </w:tcBorders>
      </w:tcPr>
    </w:tblStylePr>
    <w:tblStylePr w:type="lastRow">
      <w:rPr>
        <w:b/>
        <w:bCs/>
        <w:color w:val="373545" w:themeColor="text2"/>
      </w:rPr>
      <w:tblPr/>
      <w:tcPr>
        <w:tcBorders>
          <w:top w:val="single" w:sz="8" w:space="0" w:color="75BDA7" w:themeColor="accent3"/>
          <w:bottom w:val="single" w:sz="8" w:space="0" w:color="75BDA7" w:themeColor="accent3"/>
        </w:tcBorders>
      </w:tcPr>
    </w:tblStylePr>
    <w:tblStylePr w:type="firstCol">
      <w:rPr>
        <w:b/>
        <w:bCs/>
      </w:rPr>
    </w:tblStylePr>
    <w:tblStylePr w:type="lastCol">
      <w:rPr>
        <w:b/>
        <w:bCs/>
      </w:rPr>
      <w:tblPr/>
      <w:tcPr>
        <w:tcBorders>
          <w:top w:val="single" w:sz="8" w:space="0" w:color="75BDA7" w:themeColor="accent3"/>
          <w:bottom w:val="single" w:sz="8" w:space="0" w:color="75BDA7" w:themeColor="accent3"/>
        </w:tcBorders>
      </w:tcPr>
    </w:tblStylePr>
    <w:tblStylePr w:type="band1Vert">
      <w:tblPr/>
      <w:tcPr>
        <w:shd w:val="clear" w:color="auto" w:fill="DCEEE9" w:themeFill="accent3" w:themeFillTint="3F"/>
      </w:tcPr>
    </w:tblStylePr>
    <w:tblStylePr w:type="band1Horz">
      <w:tblPr/>
      <w:tcPr>
        <w:shd w:val="clear" w:color="auto" w:fill="DCEEE9"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7A8C8E" w:themeColor="accent4"/>
        <w:bottom w:val="single" w:sz="8" w:space="0" w:color="7A8C8E" w:themeColor="accent4"/>
      </w:tblBorders>
    </w:tblPr>
    <w:tblStylePr w:type="firstRow">
      <w:rPr>
        <w:rFonts w:asciiTheme="majorHAnsi" w:eastAsiaTheme="majorEastAsia" w:hAnsiTheme="majorHAnsi" w:cstheme="majorBidi"/>
      </w:rPr>
      <w:tblPr/>
      <w:tcPr>
        <w:tcBorders>
          <w:top w:val="nil"/>
          <w:bottom w:val="single" w:sz="8" w:space="0" w:color="7A8C8E" w:themeColor="accent4"/>
        </w:tcBorders>
      </w:tcPr>
    </w:tblStylePr>
    <w:tblStylePr w:type="lastRow">
      <w:rPr>
        <w:b/>
        <w:bCs/>
        <w:color w:val="373545" w:themeColor="text2"/>
      </w:rPr>
      <w:tblPr/>
      <w:tcPr>
        <w:tcBorders>
          <w:top w:val="single" w:sz="8" w:space="0" w:color="7A8C8E" w:themeColor="accent4"/>
          <w:bottom w:val="single" w:sz="8" w:space="0" w:color="7A8C8E" w:themeColor="accent4"/>
        </w:tcBorders>
      </w:tcPr>
    </w:tblStylePr>
    <w:tblStylePr w:type="firstCol">
      <w:rPr>
        <w:b/>
        <w:bCs/>
      </w:rPr>
    </w:tblStylePr>
    <w:tblStylePr w:type="lastCol">
      <w:rPr>
        <w:b/>
        <w:bCs/>
      </w:rPr>
      <w:tblPr/>
      <w:tcPr>
        <w:tcBorders>
          <w:top w:val="single" w:sz="8" w:space="0" w:color="7A8C8E" w:themeColor="accent4"/>
          <w:bottom w:val="single" w:sz="8" w:space="0" w:color="7A8C8E" w:themeColor="accent4"/>
        </w:tcBorders>
      </w:tcPr>
    </w:tblStylePr>
    <w:tblStylePr w:type="band1Vert">
      <w:tblPr/>
      <w:tcPr>
        <w:shd w:val="clear" w:color="auto" w:fill="DEE2E3" w:themeFill="accent4" w:themeFillTint="3F"/>
      </w:tcPr>
    </w:tblStylePr>
    <w:tblStylePr w:type="band1Horz">
      <w:tblPr/>
      <w:tcPr>
        <w:shd w:val="clear" w:color="auto" w:fill="DEE2E3"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84ACB6" w:themeColor="accent5"/>
        <w:bottom w:val="single" w:sz="8" w:space="0" w:color="84ACB6" w:themeColor="accent5"/>
      </w:tblBorders>
    </w:tblPr>
    <w:tblStylePr w:type="firstRow">
      <w:rPr>
        <w:rFonts w:asciiTheme="majorHAnsi" w:eastAsiaTheme="majorEastAsia" w:hAnsiTheme="majorHAnsi" w:cstheme="majorBidi"/>
      </w:rPr>
      <w:tblPr/>
      <w:tcPr>
        <w:tcBorders>
          <w:top w:val="nil"/>
          <w:bottom w:val="single" w:sz="8" w:space="0" w:color="84ACB6" w:themeColor="accent5"/>
        </w:tcBorders>
      </w:tcPr>
    </w:tblStylePr>
    <w:tblStylePr w:type="lastRow">
      <w:rPr>
        <w:b/>
        <w:bCs/>
        <w:color w:val="373545" w:themeColor="text2"/>
      </w:rPr>
      <w:tblPr/>
      <w:tcPr>
        <w:tcBorders>
          <w:top w:val="single" w:sz="8" w:space="0" w:color="84ACB6" w:themeColor="accent5"/>
          <w:bottom w:val="single" w:sz="8" w:space="0" w:color="84ACB6" w:themeColor="accent5"/>
        </w:tcBorders>
      </w:tcPr>
    </w:tblStylePr>
    <w:tblStylePr w:type="firstCol">
      <w:rPr>
        <w:b/>
        <w:bCs/>
      </w:rPr>
    </w:tblStylePr>
    <w:tblStylePr w:type="lastCol">
      <w:rPr>
        <w:b/>
        <w:bCs/>
      </w:rPr>
      <w:tblPr/>
      <w:tcPr>
        <w:tcBorders>
          <w:top w:val="single" w:sz="8" w:space="0" w:color="84ACB6" w:themeColor="accent5"/>
          <w:bottom w:val="single" w:sz="8" w:space="0" w:color="84ACB6" w:themeColor="accent5"/>
        </w:tcBorders>
      </w:tcPr>
    </w:tblStylePr>
    <w:tblStylePr w:type="band1Vert">
      <w:tblPr/>
      <w:tcPr>
        <w:shd w:val="clear" w:color="auto" w:fill="E0EAED" w:themeFill="accent5" w:themeFillTint="3F"/>
      </w:tcPr>
    </w:tblStylePr>
    <w:tblStylePr w:type="band1Horz">
      <w:tblPr/>
      <w:tcPr>
        <w:shd w:val="clear" w:color="auto" w:fill="E0EAED"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2683C6" w:themeColor="accent6"/>
        <w:bottom w:val="single" w:sz="8" w:space="0" w:color="2683C6" w:themeColor="accent6"/>
      </w:tblBorders>
    </w:tblPr>
    <w:tblStylePr w:type="firstRow">
      <w:rPr>
        <w:rFonts w:asciiTheme="majorHAnsi" w:eastAsiaTheme="majorEastAsia" w:hAnsiTheme="majorHAnsi" w:cstheme="majorBidi"/>
      </w:rPr>
      <w:tblPr/>
      <w:tcPr>
        <w:tcBorders>
          <w:top w:val="nil"/>
          <w:bottom w:val="single" w:sz="8" w:space="0" w:color="2683C6" w:themeColor="accent6"/>
        </w:tcBorders>
      </w:tcPr>
    </w:tblStylePr>
    <w:tblStylePr w:type="lastRow">
      <w:rPr>
        <w:b/>
        <w:bCs/>
        <w:color w:val="373545" w:themeColor="text2"/>
      </w:rPr>
      <w:tblPr/>
      <w:tcPr>
        <w:tcBorders>
          <w:top w:val="single" w:sz="8" w:space="0" w:color="2683C6" w:themeColor="accent6"/>
          <w:bottom w:val="single" w:sz="8" w:space="0" w:color="2683C6" w:themeColor="accent6"/>
        </w:tcBorders>
      </w:tcPr>
    </w:tblStylePr>
    <w:tblStylePr w:type="firstCol">
      <w:rPr>
        <w:b/>
        <w:bCs/>
      </w:rPr>
    </w:tblStylePr>
    <w:tblStylePr w:type="lastCol">
      <w:rPr>
        <w:b/>
        <w:bCs/>
      </w:rPr>
      <w:tblPr/>
      <w:tcPr>
        <w:tcBorders>
          <w:top w:val="single" w:sz="8" w:space="0" w:color="2683C6" w:themeColor="accent6"/>
          <w:bottom w:val="single" w:sz="8" w:space="0" w:color="2683C6" w:themeColor="accent6"/>
        </w:tcBorders>
      </w:tcPr>
    </w:tblStylePr>
    <w:tblStylePr w:type="band1Vert">
      <w:tblPr/>
      <w:tcPr>
        <w:shd w:val="clear" w:color="auto" w:fill="C5E0F4" w:themeFill="accent6" w:themeFillTint="3F"/>
      </w:tcPr>
    </w:tblStylePr>
    <w:tblStylePr w:type="band1Horz">
      <w:tblPr/>
      <w:tcPr>
        <w:shd w:val="clear" w:color="auto" w:fill="C5E0F4"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tblBorders>
    </w:tblPr>
    <w:tblStylePr w:type="firstRow">
      <w:rPr>
        <w:sz w:val="24"/>
        <w:szCs w:val="24"/>
      </w:rPr>
      <w:tblPr/>
      <w:tcPr>
        <w:tcBorders>
          <w:top w:val="nil"/>
          <w:left w:val="nil"/>
          <w:bottom w:val="single" w:sz="24" w:space="0" w:color="3494BA" w:themeColor="accent1"/>
          <w:right w:val="nil"/>
          <w:insideH w:val="nil"/>
          <w:insideV w:val="nil"/>
        </w:tcBorders>
        <w:shd w:val="clear" w:color="auto" w:fill="FFFFFF" w:themeFill="background1"/>
      </w:tcPr>
    </w:tblStylePr>
    <w:tblStylePr w:type="lastRow">
      <w:tblPr/>
      <w:tcPr>
        <w:tcBorders>
          <w:top w:val="single" w:sz="8" w:space="0" w:color="3494BA"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494BA" w:themeColor="accent1"/>
          <w:insideH w:val="nil"/>
          <w:insideV w:val="nil"/>
        </w:tcBorders>
        <w:shd w:val="clear" w:color="auto" w:fill="FFFFFF" w:themeFill="background1"/>
      </w:tcPr>
    </w:tblStylePr>
    <w:tblStylePr w:type="lastCol">
      <w:tblPr/>
      <w:tcPr>
        <w:tcBorders>
          <w:top w:val="nil"/>
          <w:left w:val="single" w:sz="8" w:space="0" w:color="3494BA"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top w:val="nil"/>
          <w:bottom w:val="nil"/>
          <w:insideH w:val="nil"/>
          <w:insideV w:val="nil"/>
        </w:tcBorders>
        <w:shd w:val="clear" w:color="auto" w:fill="CAE5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tblBorders>
    </w:tblPr>
    <w:tblStylePr w:type="firstRow">
      <w:rPr>
        <w:sz w:val="24"/>
        <w:szCs w:val="24"/>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tblPr/>
      <w:tcPr>
        <w:tcBorders>
          <w:top w:val="single" w:sz="8" w:space="0" w:color="58B6C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8B6C0" w:themeColor="accent2"/>
          <w:insideH w:val="nil"/>
          <w:insideV w:val="nil"/>
        </w:tcBorders>
        <w:shd w:val="clear" w:color="auto" w:fill="FFFFFF" w:themeFill="background1"/>
      </w:tcPr>
    </w:tblStylePr>
    <w:tblStylePr w:type="lastCol">
      <w:tblPr/>
      <w:tcPr>
        <w:tcBorders>
          <w:top w:val="nil"/>
          <w:left w:val="single" w:sz="8" w:space="0" w:color="58B6C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ECEF" w:themeFill="accent2" w:themeFillTint="3F"/>
      </w:tcPr>
    </w:tblStylePr>
    <w:tblStylePr w:type="band1Horz">
      <w:tblPr/>
      <w:tcPr>
        <w:tcBorders>
          <w:top w:val="nil"/>
          <w:bottom w:val="nil"/>
          <w:insideH w:val="nil"/>
          <w:insideV w:val="nil"/>
        </w:tcBorders>
        <w:shd w:val="clear" w:color="auto" w:fill="D5ECE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tblBorders>
    </w:tblPr>
    <w:tblStylePr w:type="firstRow">
      <w:rPr>
        <w:sz w:val="24"/>
        <w:szCs w:val="24"/>
      </w:rPr>
      <w:tblPr/>
      <w:tcPr>
        <w:tcBorders>
          <w:top w:val="nil"/>
          <w:left w:val="nil"/>
          <w:bottom w:val="single" w:sz="24" w:space="0" w:color="75BDA7" w:themeColor="accent3"/>
          <w:right w:val="nil"/>
          <w:insideH w:val="nil"/>
          <w:insideV w:val="nil"/>
        </w:tcBorders>
        <w:shd w:val="clear" w:color="auto" w:fill="FFFFFF" w:themeFill="background1"/>
      </w:tcPr>
    </w:tblStylePr>
    <w:tblStylePr w:type="lastRow">
      <w:tblPr/>
      <w:tcPr>
        <w:tcBorders>
          <w:top w:val="single" w:sz="8" w:space="0" w:color="75BDA7"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5BDA7" w:themeColor="accent3"/>
          <w:insideH w:val="nil"/>
          <w:insideV w:val="nil"/>
        </w:tcBorders>
        <w:shd w:val="clear" w:color="auto" w:fill="FFFFFF" w:themeFill="background1"/>
      </w:tcPr>
    </w:tblStylePr>
    <w:tblStylePr w:type="lastCol">
      <w:tblPr/>
      <w:tcPr>
        <w:tcBorders>
          <w:top w:val="nil"/>
          <w:left w:val="single" w:sz="8" w:space="0" w:color="75BDA7"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CEEE9" w:themeFill="accent3" w:themeFillTint="3F"/>
      </w:tcPr>
    </w:tblStylePr>
    <w:tblStylePr w:type="band1Horz">
      <w:tblPr/>
      <w:tcPr>
        <w:tcBorders>
          <w:top w:val="nil"/>
          <w:bottom w:val="nil"/>
          <w:insideH w:val="nil"/>
          <w:insideV w:val="nil"/>
        </w:tcBorders>
        <w:shd w:val="clear" w:color="auto" w:fill="DCEEE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tblBorders>
    </w:tblPr>
    <w:tblStylePr w:type="firstRow">
      <w:rPr>
        <w:sz w:val="24"/>
        <w:szCs w:val="24"/>
      </w:rPr>
      <w:tblPr/>
      <w:tcPr>
        <w:tcBorders>
          <w:top w:val="nil"/>
          <w:left w:val="nil"/>
          <w:bottom w:val="single" w:sz="24" w:space="0" w:color="7A8C8E" w:themeColor="accent4"/>
          <w:right w:val="nil"/>
          <w:insideH w:val="nil"/>
          <w:insideV w:val="nil"/>
        </w:tcBorders>
        <w:shd w:val="clear" w:color="auto" w:fill="FFFFFF" w:themeFill="background1"/>
      </w:tcPr>
    </w:tblStylePr>
    <w:tblStylePr w:type="lastRow">
      <w:tblPr/>
      <w:tcPr>
        <w:tcBorders>
          <w:top w:val="single" w:sz="8" w:space="0" w:color="7A8C8E"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8C8E" w:themeColor="accent4"/>
          <w:insideH w:val="nil"/>
          <w:insideV w:val="nil"/>
        </w:tcBorders>
        <w:shd w:val="clear" w:color="auto" w:fill="FFFFFF" w:themeFill="background1"/>
      </w:tcPr>
    </w:tblStylePr>
    <w:tblStylePr w:type="lastCol">
      <w:tblPr/>
      <w:tcPr>
        <w:tcBorders>
          <w:top w:val="nil"/>
          <w:left w:val="single" w:sz="8" w:space="0" w:color="7A8C8E"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EE2E3" w:themeFill="accent4" w:themeFillTint="3F"/>
      </w:tcPr>
    </w:tblStylePr>
    <w:tblStylePr w:type="band1Horz">
      <w:tblPr/>
      <w:tcPr>
        <w:tcBorders>
          <w:top w:val="nil"/>
          <w:bottom w:val="nil"/>
          <w:insideH w:val="nil"/>
          <w:insideV w:val="nil"/>
        </w:tcBorders>
        <w:shd w:val="clear" w:color="auto" w:fill="DEE2E3"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tblBorders>
    </w:tblPr>
    <w:tblStylePr w:type="firstRow">
      <w:rPr>
        <w:sz w:val="24"/>
        <w:szCs w:val="24"/>
      </w:rPr>
      <w:tblPr/>
      <w:tcPr>
        <w:tcBorders>
          <w:top w:val="nil"/>
          <w:left w:val="nil"/>
          <w:bottom w:val="single" w:sz="24" w:space="0" w:color="84ACB6" w:themeColor="accent5"/>
          <w:right w:val="nil"/>
          <w:insideH w:val="nil"/>
          <w:insideV w:val="nil"/>
        </w:tcBorders>
        <w:shd w:val="clear" w:color="auto" w:fill="FFFFFF" w:themeFill="background1"/>
      </w:tcPr>
    </w:tblStylePr>
    <w:tblStylePr w:type="lastRow">
      <w:tblPr/>
      <w:tcPr>
        <w:tcBorders>
          <w:top w:val="single" w:sz="8" w:space="0" w:color="84ACB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4ACB6" w:themeColor="accent5"/>
          <w:insideH w:val="nil"/>
          <w:insideV w:val="nil"/>
        </w:tcBorders>
        <w:shd w:val="clear" w:color="auto" w:fill="FFFFFF" w:themeFill="background1"/>
      </w:tcPr>
    </w:tblStylePr>
    <w:tblStylePr w:type="lastCol">
      <w:tblPr/>
      <w:tcPr>
        <w:tcBorders>
          <w:top w:val="nil"/>
          <w:left w:val="single" w:sz="8" w:space="0" w:color="84ACB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EAED" w:themeFill="accent5" w:themeFillTint="3F"/>
      </w:tcPr>
    </w:tblStylePr>
    <w:tblStylePr w:type="band1Horz">
      <w:tblPr/>
      <w:tcPr>
        <w:tcBorders>
          <w:top w:val="nil"/>
          <w:bottom w:val="nil"/>
          <w:insideH w:val="nil"/>
          <w:insideV w:val="nil"/>
        </w:tcBorders>
        <w:shd w:val="clear" w:color="auto" w:fill="E0EAE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tblBorders>
    </w:tblPr>
    <w:tblStylePr w:type="firstRow">
      <w:rPr>
        <w:sz w:val="24"/>
        <w:szCs w:val="24"/>
      </w:rPr>
      <w:tblPr/>
      <w:tcPr>
        <w:tcBorders>
          <w:top w:val="nil"/>
          <w:left w:val="nil"/>
          <w:bottom w:val="single" w:sz="24" w:space="0" w:color="2683C6" w:themeColor="accent6"/>
          <w:right w:val="nil"/>
          <w:insideH w:val="nil"/>
          <w:insideV w:val="nil"/>
        </w:tcBorders>
        <w:shd w:val="clear" w:color="auto" w:fill="FFFFFF" w:themeFill="background1"/>
      </w:tcPr>
    </w:tblStylePr>
    <w:tblStylePr w:type="lastRow">
      <w:tblPr/>
      <w:tcPr>
        <w:tcBorders>
          <w:top w:val="single" w:sz="8" w:space="0" w:color="2683C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683C6" w:themeColor="accent6"/>
          <w:insideH w:val="nil"/>
          <w:insideV w:val="nil"/>
        </w:tcBorders>
        <w:shd w:val="clear" w:color="auto" w:fill="FFFFFF" w:themeFill="background1"/>
      </w:tcPr>
    </w:tblStylePr>
    <w:tblStylePr w:type="lastCol">
      <w:tblPr/>
      <w:tcPr>
        <w:tcBorders>
          <w:top w:val="nil"/>
          <w:left w:val="single" w:sz="8" w:space="0" w:color="2683C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5E0F4" w:themeFill="accent6" w:themeFillTint="3F"/>
      </w:tcPr>
    </w:tblStylePr>
    <w:tblStylePr w:type="band1Horz">
      <w:tblPr/>
      <w:tcPr>
        <w:tcBorders>
          <w:top w:val="nil"/>
          <w:bottom w:val="nil"/>
          <w:insideH w:val="nil"/>
          <w:insideV w:val="nil"/>
        </w:tcBorders>
        <w:shd w:val="clear" w:color="auto" w:fill="C5E0F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single" w:sz="8" w:space="0" w:color="5FB1D2" w:themeColor="accent1" w:themeTint="BF"/>
        <w:insideV w:val="single" w:sz="8" w:space="0" w:color="5FB1D2" w:themeColor="accent1" w:themeTint="BF"/>
      </w:tblBorders>
    </w:tblPr>
    <w:tcPr>
      <w:shd w:val="clear" w:color="auto" w:fill="CAE5F0" w:themeFill="accent1" w:themeFillTint="3F"/>
    </w:tcPr>
    <w:tblStylePr w:type="firstRow">
      <w:rPr>
        <w:b/>
        <w:bCs/>
      </w:rPr>
    </w:tblStylePr>
    <w:tblStylePr w:type="lastRow">
      <w:rPr>
        <w:b/>
        <w:bCs/>
      </w:rPr>
      <w:tblPr/>
      <w:tcPr>
        <w:tcBorders>
          <w:top w:val="single" w:sz="18" w:space="0" w:color="5FB1D2" w:themeColor="accent1" w:themeTint="BF"/>
        </w:tcBorders>
      </w:tcPr>
    </w:tblStylePr>
    <w:tblStylePr w:type="firstCol">
      <w:rPr>
        <w:b/>
        <w:bCs/>
      </w:rPr>
    </w:tblStylePr>
    <w:tblStylePr w:type="lastCol">
      <w:rPr>
        <w:b/>
        <w:bCs/>
      </w:rPr>
    </w:tblStylePr>
    <w:tblStylePr w:type="band1Vert">
      <w:tblPr/>
      <w:tcPr>
        <w:shd w:val="clear" w:color="auto" w:fill="94CBE1" w:themeFill="accent1" w:themeFillTint="7F"/>
      </w:tcPr>
    </w:tblStylePr>
    <w:tblStylePr w:type="band1Horz">
      <w:tblPr/>
      <w:tcPr>
        <w:shd w:val="clear" w:color="auto" w:fill="94CBE1"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single" w:sz="8" w:space="0" w:color="81C8CF" w:themeColor="accent2" w:themeTint="BF"/>
        <w:insideV w:val="single" w:sz="8" w:space="0" w:color="81C8CF" w:themeColor="accent2" w:themeTint="BF"/>
      </w:tblBorders>
    </w:tblPr>
    <w:tcPr>
      <w:shd w:val="clear" w:color="auto" w:fill="D5ECEF" w:themeFill="accent2" w:themeFillTint="3F"/>
    </w:tcPr>
    <w:tblStylePr w:type="firstRow">
      <w:rPr>
        <w:b/>
        <w:bCs/>
      </w:rPr>
    </w:tblStylePr>
    <w:tblStylePr w:type="lastRow">
      <w:rPr>
        <w:b/>
        <w:bCs/>
      </w:rPr>
      <w:tblPr/>
      <w:tcPr>
        <w:tcBorders>
          <w:top w:val="single" w:sz="18" w:space="0" w:color="81C8CF" w:themeColor="accent2" w:themeTint="BF"/>
        </w:tcBorders>
      </w:tcPr>
    </w:tblStylePr>
    <w:tblStylePr w:type="firstCol">
      <w:rPr>
        <w:b/>
        <w:bCs/>
      </w:rPr>
    </w:tblStylePr>
    <w:tblStylePr w:type="lastCol">
      <w:rPr>
        <w:b/>
        <w:bCs/>
      </w:rPr>
    </w:tblStylePr>
    <w:tblStylePr w:type="band1Vert">
      <w:tblPr/>
      <w:tcPr>
        <w:shd w:val="clear" w:color="auto" w:fill="ABDADF" w:themeFill="accent2" w:themeFillTint="7F"/>
      </w:tcPr>
    </w:tblStylePr>
    <w:tblStylePr w:type="band1Horz">
      <w:tblPr/>
      <w:tcPr>
        <w:shd w:val="clear" w:color="auto" w:fill="ABDADF"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single" w:sz="8" w:space="0" w:color="97CDBC" w:themeColor="accent3" w:themeTint="BF"/>
        <w:insideV w:val="single" w:sz="8" w:space="0" w:color="97CDBC" w:themeColor="accent3" w:themeTint="BF"/>
      </w:tblBorders>
    </w:tblPr>
    <w:tcPr>
      <w:shd w:val="clear" w:color="auto" w:fill="DCEEE9" w:themeFill="accent3" w:themeFillTint="3F"/>
    </w:tcPr>
    <w:tblStylePr w:type="firstRow">
      <w:rPr>
        <w:b/>
        <w:bCs/>
      </w:rPr>
    </w:tblStylePr>
    <w:tblStylePr w:type="lastRow">
      <w:rPr>
        <w:b/>
        <w:bCs/>
      </w:rPr>
      <w:tblPr/>
      <w:tcPr>
        <w:tcBorders>
          <w:top w:val="single" w:sz="18" w:space="0" w:color="97CDBC" w:themeColor="accent3" w:themeTint="BF"/>
        </w:tcBorders>
      </w:tcPr>
    </w:tblStylePr>
    <w:tblStylePr w:type="firstCol">
      <w:rPr>
        <w:b/>
        <w:bCs/>
      </w:rPr>
    </w:tblStylePr>
    <w:tblStylePr w:type="lastCol">
      <w:rPr>
        <w:b/>
        <w:bCs/>
      </w:rPr>
    </w:tblStylePr>
    <w:tblStylePr w:type="band1Vert">
      <w:tblPr/>
      <w:tcPr>
        <w:shd w:val="clear" w:color="auto" w:fill="BADED3" w:themeFill="accent3" w:themeFillTint="7F"/>
      </w:tcPr>
    </w:tblStylePr>
    <w:tblStylePr w:type="band1Horz">
      <w:tblPr/>
      <w:tcPr>
        <w:shd w:val="clear" w:color="auto" w:fill="BADED3"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single" w:sz="8" w:space="0" w:color="9BA8AA" w:themeColor="accent4" w:themeTint="BF"/>
        <w:insideV w:val="single" w:sz="8" w:space="0" w:color="9BA8AA" w:themeColor="accent4" w:themeTint="BF"/>
      </w:tblBorders>
    </w:tblPr>
    <w:tcPr>
      <w:shd w:val="clear" w:color="auto" w:fill="DEE2E3" w:themeFill="accent4" w:themeFillTint="3F"/>
    </w:tcPr>
    <w:tblStylePr w:type="firstRow">
      <w:rPr>
        <w:b/>
        <w:bCs/>
      </w:rPr>
    </w:tblStylePr>
    <w:tblStylePr w:type="lastRow">
      <w:rPr>
        <w:b/>
        <w:bCs/>
      </w:rPr>
      <w:tblPr/>
      <w:tcPr>
        <w:tcBorders>
          <w:top w:val="single" w:sz="18" w:space="0" w:color="9BA8AA" w:themeColor="accent4" w:themeTint="BF"/>
        </w:tcBorders>
      </w:tcPr>
    </w:tblStylePr>
    <w:tblStylePr w:type="firstCol">
      <w:rPr>
        <w:b/>
        <w:bCs/>
      </w:rPr>
    </w:tblStylePr>
    <w:tblStylePr w:type="lastCol">
      <w:rPr>
        <w:b/>
        <w:bCs/>
      </w:rPr>
    </w:tblStylePr>
    <w:tblStylePr w:type="band1Vert">
      <w:tblPr/>
      <w:tcPr>
        <w:shd w:val="clear" w:color="auto" w:fill="BCC5C6" w:themeFill="accent4" w:themeFillTint="7F"/>
      </w:tcPr>
    </w:tblStylePr>
    <w:tblStylePr w:type="band1Horz">
      <w:tblPr/>
      <w:tcPr>
        <w:shd w:val="clear" w:color="auto" w:fill="BCC5C6"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single" w:sz="8" w:space="0" w:color="A2C0C8" w:themeColor="accent5" w:themeTint="BF"/>
        <w:insideV w:val="single" w:sz="8" w:space="0" w:color="A2C0C8" w:themeColor="accent5" w:themeTint="BF"/>
      </w:tblBorders>
    </w:tblPr>
    <w:tcPr>
      <w:shd w:val="clear" w:color="auto" w:fill="E0EAED" w:themeFill="accent5" w:themeFillTint="3F"/>
    </w:tcPr>
    <w:tblStylePr w:type="firstRow">
      <w:rPr>
        <w:b/>
        <w:bCs/>
      </w:rPr>
    </w:tblStylePr>
    <w:tblStylePr w:type="lastRow">
      <w:rPr>
        <w:b/>
        <w:bCs/>
      </w:rPr>
      <w:tblPr/>
      <w:tcPr>
        <w:tcBorders>
          <w:top w:val="single" w:sz="18" w:space="0" w:color="A2C0C8" w:themeColor="accent5" w:themeTint="BF"/>
        </w:tcBorders>
      </w:tcPr>
    </w:tblStylePr>
    <w:tblStylePr w:type="firstCol">
      <w:rPr>
        <w:b/>
        <w:bCs/>
      </w:rPr>
    </w:tblStylePr>
    <w:tblStylePr w:type="lastCol">
      <w:rPr>
        <w:b/>
        <w:bCs/>
      </w:rPr>
    </w:tblStylePr>
    <w:tblStylePr w:type="band1Vert">
      <w:tblPr/>
      <w:tcPr>
        <w:shd w:val="clear" w:color="auto" w:fill="C1D5DA" w:themeFill="accent5" w:themeFillTint="7F"/>
      </w:tcPr>
    </w:tblStylePr>
    <w:tblStylePr w:type="band1Horz">
      <w:tblPr/>
      <w:tcPr>
        <w:shd w:val="clear" w:color="auto" w:fill="C1D5DA"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single" w:sz="8" w:space="0" w:color="52A3DE" w:themeColor="accent6" w:themeTint="BF"/>
        <w:insideV w:val="single" w:sz="8" w:space="0" w:color="52A3DE" w:themeColor="accent6" w:themeTint="BF"/>
      </w:tblBorders>
    </w:tblPr>
    <w:tcPr>
      <w:shd w:val="clear" w:color="auto" w:fill="C5E0F4" w:themeFill="accent6" w:themeFillTint="3F"/>
    </w:tcPr>
    <w:tblStylePr w:type="firstRow">
      <w:rPr>
        <w:b/>
        <w:bCs/>
      </w:rPr>
    </w:tblStylePr>
    <w:tblStylePr w:type="lastRow">
      <w:rPr>
        <w:b/>
        <w:bCs/>
      </w:rPr>
      <w:tblPr/>
      <w:tcPr>
        <w:tcBorders>
          <w:top w:val="single" w:sz="18" w:space="0" w:color="52A3DE" w:themeColor="accent6" w:themeTint="BF"/>
        </w:tcBorders>
      </w:tcPr>
    </w:tblStylePr>
    <w:tblStylePr w:type="firstCol">
      <w:rPr>
        <w:b/>
        <w:bCs/>
      </w:rPr>
    </w:tblStylePr>
    <w:tblStylePr w:type="lastCol">
      <w:rPr>
        <w:b/>
        <w:bCs/>
      </w:rPr>
    </w:tblStylePr>
    <w:tblStylePr w:type="band1Vert">
      <w:tblPr/>
      <w:tcPr>
        <w:shd w:val="clear" w:color="auto" w:fill="8CC2E9" w:themeFill="accent6" w:themeFillTint="7F"/>
      </w:tcPr>
    </w:tblStylePr>
    <w:tblStylePr w:type="band1Horz">
      <w:tblPr/>
      <w:tcPr>
        <w:shd w:val="clear" w:color="auto" w:fill="8CC2E9"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insideH w:val="single" w:sz="8" w:space="0" w:color="3494BA" w:themeColor="accent1"/>
        <w:insideV w:val="single" w:sz="8" w:space="0" w:color="3494BA" w:themeColor="accent1"/>
      </w:tblBorders>
    </w:tblPr>
    <w:tcPr>
      <w:shd w:val="clear" w:color="auto" w:fill="CAE5F0" w:themeFill="accent1" w:themeFillTint="3F"/>
    </w:tcPr>
    <w:tblStylePr w:type="firstRow">
      <w:rPr>
        <w:b/>
        <w:bCs/>
        <w:color w:val="000000" w:themeColor="text1"/>
      </w:rPr>
      <w:tblPr/>
      <w:tcPr>
        <w:shd w:val="clear" w:color="auto" w:fill="EAF4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4EAF3" w:themeFill="accent1" w:themeFillTint="33"/>
      </w:tcPr>
    </w:tblStylePr>
    <w:tblStylePr w:type="band1Vert">
      <w:tblPr/>
      <w:tcPr>
        <w:shd w:val="clear" w:color="auto" w:fill="94CBE1" w:themeFill="accent1" w:themeFillTint="7F"/>
      </w:tcPr>
    </w:tblStylePr>
    <w:tblStylePr w:type="band1Horz">
      <w:tblPr/>
      <w:tcPr>
        <w:tcBorders>
          <w:insideH w:val="single" w:sz="6" w:space="0" w:color="3494BA" w:themeColor="accent1"/>
          <w:insideV w:val="single" w:sz="6" w:space="0" w:color="3494BA" w:themeColor="accent1"/>
        </w:tcBorders>
        <w:shd w:val="clear" w:color="auto" w:fill="94CB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insideH w:val="single" w:sz="8" w:space="0" w:color="58B6C0" w:themeColor="accent2"/>
        <w:insideV w:val="single" w:sz="8" w:space="0" w:color="58B6C0" w:themeColor="accent2"/>
      </w:tblBorders>
    </w:tblPr>
    <w:tcPr>
      <w:shd w:val="clear" w:color="auto" w:fill="D5ECEF" w:themeFill="accent2" w:themeFillTint="3F"/>
    </w:tcPr>
    <w:tblStylePr w:type="firstRow">
      <w:rPr>
        <w:b/>
        <w:bCs/>
        <w:color w:val="000000" w:themeColor="text1"/>
      </w:rPr>
      <w:tblPr/>
      <w:tcPr>
        <w:shd w:val="clear" w:color="auto" w:fill="EEF7F8"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F0F2" w:themeFill="accent2" w:themeFillTint="33"/>
      </w:tcPr>
    </w:tblStylePr>
    <w:tblStylePr w:type="band1Vert">
      <w:tblPr/>
      <w:tcPr>
        <w:shd w:val="clear" w:color="auto" w:fill="ABDADF" w:themeFill="accent2" w:themeFillTint="7F"/>
      </w:tcPr>
    </w:tblStylePr>
    <w:tblStylePr w:type="band1Horz">
      <w:tblPr/>
      <w:tcPr>
        <w:tcBorders>
          <w:insideH w:val="single" w:sz="6" w:space="0" w:color="58B6C0" w:themeColor="accent2"/>
          <w:insideV w:val="single" w:sz="6" w:space="0" w:color="58B6C0" w:themeColor="accent2"/>
        </w:tcBorders>
        <w:shd w:val="clear" w:color="auto" w:fill="ABDAD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insideH w:val="single" w:sz="8" w:space="0" w:color="75BDA7" w:themeColor="accent3"/>
        <w:insideV w:val="single" w:sz="8" w:space="0" w:color="75BDA7" w:themeColor="accent3"/>
      </w:tblBorders>
    </w:tblPr>
    <w:tcPr>
      <w:shd w:val="clear" w:color="auto" w:fill="DCEEE9" w:themeFill="accent3" w:themeFillTint="3F"/>
    </w:tcPr>
    <w:tblStylePr w:type="firstRow">
      <w:rPr>
        <w:b/>
        <w:bCs/>
        <w:color w:val="000000" w:themeColor="text1"/>
      </w:rPr>
      <w:tblPr/>
      <w:tcPr>
        <w:shd w:val="clear" w:color="auto" w:fill="F1F8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3F1ED" w:themeFill="accent3" w:themeFillTint="33"/>
      </w:tcPr>
    </w:tblStylePr>
    <w:tblStylePr w:type="band1Vert">
      <w:tblPr/>
      <w:tcPr>
        <w:shd w:val="clear" w:color="auto" w:fill="BADED3" w:themeFill="accent3" w:themeFillTint="7F"/>
      </w:tcPr>
    </w:tblStylePr>
    <w:tblStylePr w:type="band1Horz">
      <w:tblPr/>
      <w:tcPr>
        <w:tcBorders>
          <w:insideH w:val="single" w:sz="6" w:space="0" w:color="75BDA7" w:themeColor="accent3"/>
          <w:insideV w:val="single" w:sz="6" w:space="0" w:color="75BDA7" w:themeColor="accent3"/>
        </w:tcBorders>
        <w:shd w:val="clear" w:color="auto" w:fill="BADED3"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insideH w:val="single" w:sz="8" w:space="0" w:color="7A8C8E" w:themeColor="accent4"/>
        <w:insideV w:val="single" w:sz="8" w:space="0" w:color="7A8C8E" w:themeColor="accent4"/>
      </w:tblBorders>
    </w:tblPr>
    <w:tcPr>
      <w:shd w:val="clear" w:color="auto" w:fill="DEE2E3" w:themeFill="accent4" w:themeFillTint="3F"/>
    </w:tcPr>
    <w:tblStylePr w:type="firstRow">
      <w:rPr>
        <w:b/>
        <w:bCs/>
        <w:color w:val="000000" w:themeColor="text1"/>
      </w:rPr>
      <w:tblPr/>
      <w:tcPr>
        <w:shd w:val="clear" w:color="auto" w:fill="F1F3F3"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4E7E8" w:themeFill="accent4" w:themeFillTint="33"/>
      </w:tcPr>
    </w:tblStylePr>
    <w:tblStylePr w:type="band1Vert">
      <w:tblPr/>
      <w:tcPr>
        <w:shd w:val="clear" w:color="auto" w:fill="BCC5C6" w:themeFill="accent4" w:themeFillTint="7F"/>
      </w:tcPr>
    </w:tblStylePr>
    <w:tblStylePr w:type="band1Horz">
      <w:tblPr/>
      <w:tcPr>
        <w:tcBorders>
          <w:insideH w:val="single" w:sz="6" w:space="0" w:color="7A8C8E" w:themeColor="accent4"/>
          <w:insideV w:val="single" w:sz="6" w:space="0" w:color="7A8C8E" w:themeColor="accent4"/>
        </w:tcBorders>
        <w:shd w:val="clear" w:color="auto" w:fill="BCC5C6"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insideH w:val="single" w:sz="8" w:space="0" w:color="84ACB6" w:themeColor="accent5"/>
        <w:insideV w:val="single" w:sz="8" w:space="0" w:color="84ACB6" w:themeColor="accent5"/>
      </w:tblBorders>
    </w:tblPr>
    <w:tcPr>
      <w:shd w:val="clear" w:color="auto" w:fill="E0EAED" w:themeFill="accent5" w:themeFillTint="3F"/>
    </w:tcPr>
    <w:tblStylePr w:type="firstRow">
      <w:rPr>
        <w:b/>
        <w:bCs/>
        <w:color w:val="000000" w:themeColor="text1"/>
      </w:rPr>
      <w:tblPr/>
      <w:tcPr>
        <w:shd w:val="clear" w:color="auto" w:fill="F2F6F7"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EEF0" w:themeFill="accent5" w:themeFillTint="33"/>
      </w:tcPr>
    </w:tblStylePr>
    <w:tblStylePr w:type="band1Vert">
      <w:tblPr/>
      <w:tcPr>
        <w:shd w:val="clear" w:color="auto" w:fill="C1D5DA" w:themeFill="accent5" w:themeFillTint="7F"/>
      </w:tcPr>
    </w:tblStylePr>
    <w:tblStylePr w:type="band1Horz">
      <w:tblPr/>
      <w:tcPr>
        <w:tcBorders>
          <w:insideH w:val="single" w:sz="6" w:space="0" w:color="84ACB6" w:themeColor="accent5"/>
          <w:insideV w:val="single" w:sz="6" w:space="0" w:color="84ACB6" w:themeColor="accent5"/>
        </w:tcBorders>
        <w:shd w:val="clear" w:color="auto" w:fill="C1D5D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insideH w:val="single" w:sz="8" w:space="0" w:color="2683C6" w:themeColor="accent6"/>
        <w:insideV w:val="single" w:sz="8" w:space="0" w:color="2683C6" w:themeColor="accent6"/>
      </w:tblBorders>
    </w:tblPr>
    <w:tcPr>
      <w:shd w:val="clear" w:color="auto" w:fill="C5E0F4" w:themeFill="accent6" w:themeFillTint="3F"/>
    </w:tcPr>
    <w:tblStylePr w:type="firstRow">
      <w:rPr>
        <w:b/>
        <w:bCs/>
        <w:color w:val="000000" w:themeColor="text1"/>
      </w:rPr>
      <w:tblPr/>
      <w:tcPr>
        <w:shd w:val="clear" w:color="auto" w:fill="E8F2FA"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0E6F6" w:themeFill="accent6" w:themeFillTint="33"/>
      </w:tcPr>
    </w:tblStylePr>
    <w:tblStylePr w:type="band1Vert">
      <w:tblPr/>
      <w:tcPr>
        <w:shd w:val="clear" w:color="auto" w:fill="8CC2E9" w:themeFill="accent6" w:themeFillTint="7F"/>
      </w:tcPr>
    </w:tblStylePr>
    <w:tblStylePr w:type="band1Horz">
      <w:tblPr/>
      <w:tcPr>
        <w:tcBorders>
          <w:insideH w:val="single" w:sz="6" w:space="0" w:color="2683C6" w:themeColor="accent6"/>
          <w:insideV w:val="single" w:sz="6" w:space="0" w:color="2683C6" w:themeColor="accent6"/>
        </w:tcBorders>
        <w:shd w:val="clear" w:color="auto" w:fill="8CC2E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AE5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494BA"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494BA"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494BA"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494BA"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4CB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4CBE1"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ECE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8B6C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8B6C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8B6C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8B6C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BDAD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BDADF"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CEEE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5BDA7"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5BDA7"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5BDA7"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5BDA7"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ADED3"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ADED3"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EE2E3"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8C8E"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8C8E"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8C8E"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8C8E"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CC5C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CC5C6"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0EAE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4ACB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4ACB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4ACB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4ACB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1D5D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1D5DA"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5E0F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683C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683C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683C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683C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CC2E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CC2E9"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3494BA"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A495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76E8B"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76E8B" w:themeFill="accent1" w:themeFillShade="BF"/>
      </w:tcPr>
    </w:tblStylePr>
    <w:tblStylePr w:type="band1Vert">
      <w:tblPr/>
      <w:tcPr>
        <w:tcBorders>
          <w:top w:val="nil"/>
          <w:left w:val="nil"/>
          <w:bottom w:val="nil"/>
          <w:right w:val="nil"/>
          <w:insideH w:val="nil"/>
          <w:insideV w:val="nil"/>
        </w:tcBorders>
        <w:shd w:val="clear" w:color="auto" w:fill="276E8B" w:themeFill="accent1" w:themeFillShade="BF"/>
      </w:tcPr>
    </w:tblStylePr>
    <w:tblStylePr w:type="band1Horz">
      <w:tblPr/>
      <w:tcPr>
        <w:tcBorders>
          <w:top w:val="nil"/>
          <w:left w:val="nil"/>
          <w:bottom w:val="nil"/>
          <w:right w:val="nil"/>
          <w:insideH w:val="nil"/>
          <w:insideV w:val="nil"/>
        </w:tcBorders>
        <w:shd w:val="clear" w:color="auto" w:fill="276E8B"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58B6C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E65"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398E9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398E98" w:themeFill="accent2" w:themeFillShade="BF"/>
      </w:tcPr>
    </w:tblStylePr>
    <w:tblStylePr w:type="band1Vert">
      <w:tblPr/>
      <w:tcPr>
        <w:tcBorders>
          <w:top w:val="nil"/>
          <w:left w:val="nil"/>
          <w:bottom w:val="nil"/>
          <w:right w:val="nil"/>
          <w:insideH w:val="nil"/>
          <w:insideV w:val="nil"/>
        </w:tcBorders>
        <w:shd w:val="clear" w:color="auto" w:fill="398E98" w:themeFill="accent2" w:themeFillShade="BF"/>
      </w:tcPr>
    </w:tblStylePr>
    <w:tblStylePr w:type="band1Horz">
      <w:tblPr/>
      <w:tcPr>
        <w:tcBorders>
          <w:top w:val="nil"/>
          <w:left w:val="nil"/>
          <w:bottom w:val="nil"/>
          <w:right w:val="nil"/>
          <w:insideH w:val="nil"/>
          <w:insideV w:val="nil"/>
        </w:tcBorders>
        <w:shd w:val="clear" w:color="auto" w:fill="398E98"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75BDA7"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6756"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A9A8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A9A82" w:themeFill="accent3" w:themeFillShade="BF"/>
      </w:tcPr>
    </w:tblStylePr>
    <w:tblStylePr w:type="band1Vert">
      <w:tblPr/>
      <w:tcPr>
        <w:tcBorders>
          <w:top w:val="nil"/>
          <w:left w:val="nil"/>
          <w:bottom w:val="nil"/>
          <w:right w:val="nil"/>
          <w:insideH w:val="nil"/>
          <w:insideV w:val="nil"/>
        </w:tcBorders>
        <w:shd w:val="clear" w:color="auto" w:fill="4A9A82" w:themeFill="accent3" w:themeFillShade="BF"/>
      </w:tcPr>
    </w:tblStylePr>
    <w:tblStylePr w:type="band1Horz">
      <w:tblPr/>
      <w:tcPr>
        <w:tcBorders>
          <w:top w:val="nil"/>
          <w:left w:val="nil"/>
          <w:bottom w:val="nil"/>
          <w:right w:val="nil"/>
          <w:insideH w:val="nil"/>
          <w:insideV w:val="nil"/>
        </w:tcBorders>
        <w:shd w:val="clear" w:color="auto" w:fill="4A9A82"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7A8C8E"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4546"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A696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A696A" w:themeFill="accent4" w:themeFillShade="BF"/>
      </w:tcPr>
    </w:tblStylePr>
    <w:tblStylePr w:type="band1Vert">
      <w:tblPr/>
      <w:tcPr>
        <w:tcBorders>
          <w:top w:val="nil"/>
          <w:left w:val="nil"/>
          <w:bottom w:val="nil"/>
          <w:right w:val="nil"/>
          <w:insideH w:val="nil"/>
          <w:insideV w:val="nil"/>
        </w:tcBorders>
        <w:shd w:val="clear" w:color="auto" w:fill="5A696A" w:themeFill="accent4" w:themeFillShade="BF"/>
      </w:tcPr>
    </w:tblStylePr>
    <w:tblStylePr w:type="band1Horz">
      <w:tblPr/>
      <w:tcPr>
        <w:tcBorders>
          <w:top w:val="nil"/>
          <w:left w:val="nil"/>
          <w:bottom w:val="nil"/>
          <w:right w:val="nil"/>
          <w:insideH w:val="nil"/>
          <w:insideV w:val="nil"/>
        </w:tcBorders>
        <w:shd w:val="clear" w:color="auto" w:fill="5A696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84ACB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A5A62"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78793"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78793" w:themeFill="accent5" w:themeFillShade="BF"/>
      </w:tcPr>
    </w:tblStylePr>
    <w:tblStylePr w:type="band1Vert">
      <w:tblPr/>
      <w:tcPr>
        <w:tcBorders>
          <w:top w:val="nil"/>
          <w:left w:val="nil"/>
          <w:bottom w:val="nil"/>
          <w:right w:val="nil"/>
          <w:insideH w:val="nil"/>
          <w:insideV w:val="nil"/>
        </w:tcBorders>
        <w:shd w:val="clear" w:color="auto" w:fill="578793" w:themeFill="accent5" w:themeFillShade="BF"/>
      </w:tcPr>
    </w:tblStylePr>
    <w:tblStylePr w:type="band1Horz">
      <w:tblPr/>
      <w:tcPr>
        <w:tcBorders>
          <w:top w:val="nil"/>
          <w:left w:val="nil"/>
          <w:bottom w:val="nil"/>
          <w:right w:val="nil"/>
          <w:insideH w:val="nil"/>
          <w:insideV w:val="nil"/>
        </w:tcBorders>
        <w:shd w:val="clear" w:color="auto" w:fill="578793"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2683C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34162"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1C619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1C6194" w:themeFill="accent6" w:themeFillShade="BF"/>
      </w:tcPr>
    </w:tblStylePr>
    <w:tblStylePr w:type="band1Vert">
      <w:tblPr/>
      <w:tcPr>
        <w:tcBorders>
          <w:top w:val="nil"/>
          <w:left w:val="nil"/>
          <w:bottom w:val="nil"/>
          <w:right w:val="nil"/>
          <w:insideH w:val="nil"/>
          <w:insideV w:val="nil"/>
        </w:tcBorders>
        <w:shd w:val="clear" w:color="auto" w:fill="1C6194" w:themeFill="accent6" w:themeFillShade="BF"/>
      </w:tcPr>
    </w:tblStylePr>
    <w:tblStylePr w:type="band1Horz">
      <w:tblPr/>
      <w:tcPr>
        <w:tcBorders>
          <w:top w:val="nil"/>
          <w:left w:val="nil"/>
          <w:bottom w:val="nil"/>
          <w:right w:val="nil"/>
          <w:insideH w:val="nil"/>
          <w:insideV w:val="nil"/>
        </w:tcBorders>
        <w:shd w:val="clear" w:color="auto" w:fill="1C6194"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58B6C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58B6C0" w:themeColor="accent2"/>
        <w:left w:val="single" w:sz="4" w:space="0" w:color="3494BA" w:themeColor="accent1"/>
        <w:bottom w:val="single" w:sz="4" w:space="0" w:color="3494BA" w:themeColor="accent1"/>
        <w:right w:val="single" w:sz="4" w:space="0" w:color="3494BA" w:themeColor="accent1"/>
        <w:insideH w:val="single" w:sz="4" w:space="0" w:color="FFFFFF" w:themeColor="background1"/>
        <w:insideV w:val="single" w:sz="4" w:space="0" w:color="FFFFFF" w:themeColor="background1"/>
      </w:tblBorders>
    </w:tblPr>
    <w:tcPr>
      <w:shd w:val="clear" w:color="auto" w:fill="EAF4F9" w:themeFill="accent1"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F586F" w:themeFill="accent1" w:themeFillShade="99"/>
      </w:tcPr>
    </w:tblStylePr>
    <w:tblStylePr w:type="firstCol">
      <w:rPr>
        <w:color w:val="FFFFFF" w:themeColor="background1"/>
      </w:rPr>
      <w:tblPr/>
      <w:tcPr>
        <w:tcBorders>
          <w:top w:val="nil"/>
          <w:left w:val="nil"/>
          <w:bottom w:val="nil"/>
          <w:right w:val="nil"/>
          <w:insideH w:val="single" w:sz="4" w:space="0" w:color="1F586F" w:themeColor="accent1" w:themeShade="99"/>
          <w:insideV w:val="nil"/>
        </w:tcBorders>
        <w:shd w:val="clear" w:color="auto" w:fill="1F586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F586F" w:themeFill="accent1" w:themeFillShade="99"/>
      </w:tcPr>
    </w:tblStylePr>
    <w:tblStylePr w:type="band1Vert">
      <w:tblPr/>
      <w:tcPr>
        <w:shd w:val="clear" w:color="auto" w:fill="A9D5E7" w:themeFill="accent1" w:themeFillTint="66"/>
      </w:tcPr>
    </w:tblStylePr>
    <w:tblStylePr w:type="band1Horz">
      <w:tblPr/>
      <w:tcPr>
        <w:shd w:val="clear" w:color="auto" w:fill="94CB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58B6C0" w:themeColor="accent2"/>
        <w:left w:val="single" w:sz="4" w:space="0" w:color="58B6C0" w:themeColor="accent2"/>
        <w:bottom w:val="single" w:sz="4" w:space="0" w:color="58B6C0" w:themeColor="accent2"/>
        <w:right w:val="single" w:sz="4" w:space="0" w:color="58B6C0" w:themeColor="accent2"/>
        <w:insideH w:val="single" w:sz="4" w:space="0" w:color="FFFFFF" w:themeColor="background1"/>
        <w:insideV w:val="single" w:sz="4" w:space="0" w:color="FFFFFF" w:themeColor="background1"/>
      </w:tblBorders>
    </w:tblPr>
    <w:tcPr>
      <w:shd w:val="clear" w:color="auto" w:fill="EEF7F8" w:themeFill="accent2"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7279" w:themeFill="accent2" w:themeFillShade="99"/>
      </w:tcPr>
    </w:tblStylePr>
    <w:tblStylePr w:type="firstCol">
      <w:rPr>
        <w:color w:val="FFFFFF" w:themeColor="background1"/>
      </w:rPr>
      <w:tblPr/>
      <w:tcPr>
        <w:tcBorders>
          <w:top w:val="nil"/>
          <w:left w:val="nil"/>
          <w:bottom w:val="nil"/>
          <w:right w:val="nil"/>
          <w:insideH w:val="single" w:sz="4" w:space="0" w:color="2E7279" w:themeColor="accent2" w:themeShade="99"/>
          <w:insideV w:val="nil"/>
        </w:tcBorders>
        <w:shd w:val="clear" w:color="auto" w:fill="2E727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E7279" w:themeFill="accent2" w:themeFillShade="99"/>
      </w:tcPr>
    </w:tblStylePr>
    <w:tblStylePr w:type="band1Vert">
      <w:tblPr/>
      <w:tcPr>
        <w:shd w:val="clear" w:color="auto" w:fill="BCE1E5" w:themeFill="accent2" w:themeFillTint="66"/>
      </w:tcPr>
    </w:tblStylePr>
    <w:tblStylePr w:type="band1Horz">
      <w:tblPr/>
      <w:tcPr>
        <w:shd w:val="clear" w:color="auto" w:fill="ABDAD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7A8C8E" w:themeColor="accent4"/>
        <w:left w:val="single" w:sz="4" w:space="0" w:color="75BDA7" w:themeColor="accent3"/>
        <w:bottom w:val="single" w:sz="4" w:space="0" w:color="75BDA7" w:themeColor="accent3"/>
        <w:right w:val="single" w:sz="4" w:space="0" w:color="75BDA7" w:themeColor="accent3"/>
        <w:insideH w:val="single" w:sz="4" w:space="0" w:color="FFFFFF" w:themeColor="background1"/>
        <w:insideV w:val="single" w:sz="4" w:space="0" w:color="FFFFFF" w:themeColor="background1"/>
      </w:tblBorders>
    </w:tblPr>
    <w:tcPr>
      <w:shd w:val="clear" w:color="auto" w:fill="F1F8F6" w:themeFill="accent3" w:themeFillTint="19"/>
    </w:tcPr>
    <w:tblStylePr w:type="firstRow">
      <w:rPr>
        <w:b/>
        <w:bCs/>
      </w:rPr>
      <w:tblPr/>
      <w:tcPr>
        <w:tcBorders>
          <w:top w:val="nil"/>
          <w:left w:val="nil"/>
          <w:bottom w:val="single" w:sz="24" w:space="0" w:color="7A8C8E"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B7C68" w:themeFill="accent3" w:themeFillShade="99"/>
      </w:tcPr>
    </w:tblStylePr>
    <w:tblStylePr w:type="firstCol">
      <w:rPr>
        <w:color w:val="FFFFFF" w:themeColor="background1"/>
      </w:rPr>
      <w:tblPr/>
      <w:tcPr>
        <w:tcBorders>
          <w:top w:val="nil"/>
          <w:left w:val="nil"/>
          <w:bottom w:val="nil"/>
          <w:right w:val="nil"/>
          <w:insideH w:val="single" w:sz="4" w:space="0" w:color="3B7C68" w:themeColor="accent3" w:themeShade="99"/>
          <w:insideV w:val="nil"/>
        </w:tcBorders>
        <w:shd w:val="clear" w:color="auto" w:fill="3B7C68"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B7C68" w:themeFill="accent3" w:themeFillShade="99"/>
      </w:tcPr>
    </w:tblStylePr>
    <w:tblStylePr w:type="band1Vert">
      <w:tblPr/>
      <w:tcPr>
        <w:shd w:val="clear" w:color="auto" w:fill="C7E4DB" w:themeFill="accent3" w:themeFillTint="66"/>
      </w:tcPr>
    </w:tblStylePr>
    <w:tblStylePr w:type="band1Horz">
      <w:tblPr/>
      <w:tcPr>
        <w:shd w:val="clear" w:color="auto" w:fill="BADED3"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75BDA7" w:themeColor="accent3"/>
        <w:left w:val="single" w:sz="4" w:space="0" w:color="7A8C8E" w:themeColor="accent4"/>
        <w:bottom w:val="single" w:sz="4" w:space="0" w:color="7A8C8E" w:themeColor="accent4"/>
        <w:right w:val="single" w:sz="4" w:space="0" w:color="7A8C8E" w:themeColor="accent4"/>
        <w:insideH w:val="single" w:sz="4" w:space="0" w:color="FFFFFF" w:themeColor="background1"/>
        <w:insideV w:val="single" w:sz="4" w:space="0" w:color="FFFFFF" w:themeColor="background1"/>
      </w:tblBorders>
    </w:tblPr>
    <w:tcPr>
      <w:shd w:val="clear" w:color="auto" w:fill="F1F3F3" w:themeFill="accent4" w:themeFillTint="19"/>
    </w:tcPr>
    <w:tblStylePr w:type="firstRow">
      <w:rPr>
        <w:b/>
        <w:bCs/>
      </w:rPr>
      <w:tblPr/>
      <w:tcPr>
        <w:tcBorders>
          <w:top w:val="nil"/>
          <w:left w:val="nil"/>
          <w:bottom w:val="single" w:sz="24" w:space="0" w:color="75BDA7"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85455" w:themeFill="accent4" w:themeFillShade="99"/>
      </w:tcPr>
    </w:tblStylePr>
    <w:tblStylePr w:type="firstCol">
      <w:rPr>
        <w:color w:val="FFFFFF" w:themeColor="background1"/>
      </w:rPr>
      <w:tblPr/>
      <w:tcPr>
        <w:tcBorders>
          <w:top w:val="nil"/>
          <w:left w:val="nil"/>
          <w:bottom w:val="nil"/>
          <w:right w:val="nil"/>
          <w:insideH w:val="single" w:sz="4" w:space="0" w:color="485455" w:themeColor="accent4" w:themeShade="99"/>
          <w:insideV w:val="nil"/>
        </w:tcBorders>
        <w:shd w:val="clear" w:color="auto" w:fill="48545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85455" w:themeFill="accent4" w:themeFillShade="99"/>
      </w:tcPr>
    </w:tblStylePr>
    <w:tblStylePr w:type="band1Vert">
      <w:tblPr/>
      <w:tcPr>
        <w:shd w:val="clear" w:color="auto" w:fill="C9D0D1" w:themeFill="accent4" w:themeFillTint="66"/>
      </w:tcPr>
    </w:tblStylePr>
    <w:tblStylePr w:type="band1Horz">
      <w:tblPr/>
      <w:tcPr>
        <w:shd w:val="clear" w:color="auto" w:fill="BCC5C6"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2683C6" w:themeColor="accent6"/>
        <w:left w:val="single" w:sz="4" w:space="0" w:color="84ACB6" w:themeColor="accent5"/>
        <w:bottom w:val="single" w:sz="4" w:space="0" w:color="84ACB6" w:themeColor="accent5"/>
        <w:right w:val="single" w:sz="4" w:space="0" w:color="84ACB6" w:themeColor="accent5"/>
        <w:insideH w:val="single" w:sz="4" w:space="0" w:color="FFFFFF" w:themeColor="background1"/>
        <w:insideV w:val="single" w:sz="4" w:space="0" w:color="FFFFFF" w:themeColor="background1"/>
      </w:tblBorders>
    </w:tblPr>
    <w:tcPr>
      <w:shd w:val="clear" w:color="auto" w:fill="F2F6F7" w:themeFill="accent5" w:themeFillTint="19"/>
    </w:tcPr>
    <w:tblStylePr w:type="firstRow">
      <w:rPr>
        <w:b/>
        <w:bCs/>
      </w:rPr>
      <w:tblPr/>
      <w:tcPr>
        <w:tcBorders>
          <w:top w:val="nil"/>
          <w:left w:val="nil"/>
          <w:bottom w:val="single" w:sz="24" w:space="0" w:color="2683C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66C76" w:themeFill="accent5" w:themeFillShade="99"/>
      </w:tcPr>
    </w:tblStylePr>
    <w:tblStylePr w:type="firstCol">
      <w:rPr>
        <w:color w:val="FFFFFF" w:themeColor="background1"/>
      </w:rPr>
      <w:tblPr/>
      <w:tcPr>
        <w:tcBorders>
          <w:top w:val="nil"/>
          <w:left w:val="nil"/>
          <w:bottom w:val="nil"/>
          <w:right w:val="nil"/>
          <w:insideH w:val="single" w:sz="4" w:space="0" w:color="466C76" w:themeColor="accent5" w:themeShade="99"/>
          <w:insideV w:val="nil"/>
        </w:tcBorders>
        <w:shd w:val="clear" w:color="auto" w:fill="466C76"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66C76" w:themeFill="accent5" w:themeFillShade="99"/>
      </w:tcPr>
    </w:tblStylePr>
    <w:tblStylePr w:type="band1Vert">
      <w:tblPr/>
      <w:tcPr>
        <w:shd w:val="clear" w:color="auto" w:fill="CDDDE1" w:themeFill="accent5" w:themeFillTint="66"/>
      </w:tcPr>
    </w:tblStylePr>
    <w:tblStylePr w:type="band1Horz">
      <w:tblPr/>
      <w:tcPr>
        <w:shd w:val="clear" w:color="auto" w:fill="C1D5D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84ACB6" w:themeColor="accent5"/>
        <w:left w:val="single" w:sz="4" w:space="0" w:color="2683C6" w:themeColor="accent6"/>
        <w:bottom w:val="single" w:sz="4" w:space="0" w:color="2683C6" w:themeColor="accent6"/>
        <w:right w:val="single" w:sz="4" w:space="0" w:color="2683C6" w:themeColor="accent6"/>
        <w:insideH w:val="single" w:sz="4" w:space="0" w:color="FFFFFF" w:themeColor="background1"/>
        <w:insideV w:val="single" w:sz="4" w:space="0" w:color="FFFFFF" w:themeColor="background1"/>
      </w:tblBorders>
    </w:tblPr>
    <w:tcPr>
      <w:shd w:val="clear" w:color="auto" w:fill="E8F2FA" w:themeFill="accent6" w:themeFillTint="19"/>
    </w:tcPr>
    <w:tblStylePr w:type="firstRow">
      <w:rPr>
        <w:b/>
        <w:bCs/>
      </w:rPr>
      <w:tblPr/>
      <w:tcPr>
        <w:tcBorders>
          <w:top w:val="nil"/>
          <w:left w:val="nil"/>
          <w:bottom w:val="single" w:sz="24" w:space="0" w:color="84ACB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64E76" w:themeFill="accent6" w:themeFillShade="99"/>
      </w:tcPr>
    </w:tblStylePr>
    <w:tblStylePr w:type="firstCol">
      <w:rPr>
        <w:color w:val="FFFFFF" w:themeColor="background1"/>
      </w:rPr>
      <w:tblPr/>
      <w:tcPr>
        <w:tcBorders>
          <w:top w:val="nil"/>
          <w:left w:val="nil"/>
          <w:bottom w:val="nil"/>
          <w:right w:val="nil"/>
          <w:insideH w:val="single" w:sz="4" w:space="0" w:color="164E76" w:themeColor="accent6" w:themeShade="99"/>
          <w:insideV w:val="nil"/>
        </w:tcBorders>
        <w:shd w:val="clear" w:color="auto" w:fill="164E7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164E76" w:themeFill="accent6" w:themeFillShade="99"/>
      </w:tcPr>
    </w:tblStylePr>
    <w:tblStylePr w:type="band1Vert">
      <w:tblPr/>
      <w:tcPr>
        <w:shd w:val="clear" w:color="auto" w:fill="A3CEED" w:themeFill="accent6" w:themeFillTint="66"/>
      </w:tcPr>
    </w:tblStylePr>
    <w:tblStylePr w:type="band1Horz">
      <w:tblPr/>
      <w:tcPr>
        <w:shd w:val="clear" w:color="auto" w:fill="8CC2E9"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AF4F9" w:themeFill="accent1"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AE5F0" w:themeFill="accent1" w:themeFillTint="3F"/>
      </w:tcPr>
    </w:tblStylePr>
    <w:tblStylePr w:type="band1Horz">
      <w:tblPr/>
      <w:tcPr>
        <w:shd w:val="clear" w:color="auto" w:fill="D4EAF3"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EEF7F8" w:themeFill="accent2"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ECEF" w:themeFill="accent2" w:themeFillTint="3F"/>
      </w:tcPr>
    </w:tblStylePr>
    <w:tblStylePr w:type="band1Horz">
      <w:tblPr/>
      <w:tcPr>
        <w:shd w:val="clear" w:color="auto" w:fill="DDF0F2"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1F8F6" w:themeFill="accent3" w:themeFillTint="19"/>
    </w:tcPr>
    <w:tblStylePr w:type="firstRow">
      <w:rPr>
        <w:b/>
        <w:bCs/>
        <w:color w:val="FFFFFF" w:themeColor="background1"/>
      </w:rPr>
      <w:tblPr/>
      <w:tcPr>
        <w:tcBorders>
          <w:bottom w:val="single" w:sz="12" w:space="0" w:color="FFFFFF" w:themeColor="background1"/>
        </w:tcBorders>
        <w:shd w:val="clear" w:color="auto" w:fill="617072" w:themeFill="accent4" w:themeFillShade="CC"/>
      </w:tcPr>
    </w:tblStylePr>
    <w:tblStylePr w:type="lastRow">
      <w:rPr>
        <w:b/>
        <w:bCs/>
        <w:color w:val="61707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CEEE9" w:themeFill="accent3" w:themeFillTint="3F"/>
      </w:tcPr>
    </w:tblStylePr>
    <w:tblStylePr w:type="band1Horz">
      <w:tblPr/>
      <w:tcPr>
        <w:shd w:val="clear" w:color="auto" w:fill="E3F1E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1F3F3" w:themeFill="accent4" w:themeFillTint="19"/>
    </w:tcPr>
    <w:tblStylePr w:type="firstRow">
      <w:rPr>
        <w:b/>
        <w:bCs/>
        <w:color w:val="FFFFFF" w:themeColor="background1"/>
      </w:rPr>
      <w:tblPr/>
      <w:tcPr>
        <w:tcBorders>
          <w:bottom w:val="single" w:sz="12" w:space="0" w:color="FFFFFF" w:themeColor="background1"/>
        </w:tcBorders>
        <w:shd w:val="clear" w:color="auto" w:fill="4FA58B" w:themeFill="accent3" w:themeFillShade="CC"/>
      </w:tcPr>
    </w:tblStylePr>
    <w:tblStylePr w:type="lastRow">
      <w:rPr>
        <w:b/>
        <w:bCs/>
        <w:color w:val="4FA58B"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EE2E3" w:themeFill="accent4" w:themeFillTint="3F"/>
      </w:tcPr>
    </w:tblStylePr>
    <w:tblStylePr w:type="band1Horz">
      <w:tblPr/>
      <w:tcPr>
        <w:shd w:val="clear" w:color="auto" w:fill="E4E7E8"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2F6F7" w:themeFill="accent5" w:themeFillTint="19"/>
    </w:tcPr>
    <w:tblStylePr w:type="firstRow">
      <w:rPr>
        <w:b/>
        <w:bCs/>
        <w:color w:val="FFFFFF" w:themeColor="background1"/>
      </w:rPr>
      <w:tblPr/>
      <w:tcPr>
        <w:tcBorders>
          <w:bottom w:val="single" w:sz="12" w:space="0" w:color="FFFFFF" w:themeColor="background1"/>
        </w:tcBorders>
        <w:shd w:val="clear" w:color="auto" w:fill="1E689E" w:themeFill="accent6" w:themeFillShade="CC"/>
      </w:tcPr>
    </w:tblStylePr>
    <w:tblStylePr w:type="lastRow">
      <w:rPr>
        <w:b/>
        <w:bCs/>
        <w:color w:val="1E689E"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EAED" w:themeFill="accent5" w:themeFillTint="3F"/>
      </w:tcPr>
    </w:tblStylePr>
    <w:tblStylePr w:type="band1Horz">
      <w:tblPr/>
      <w:tcPr>
        <w:shd w:val="clear" w:color="auto" w:fill="E6EEF0"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8F2FA" w:themeFill="accent6" w:themeFillTint="19"/>
    </w:tcPr>
    <w:tblStylePr w:type="firstRow">
      <w:rPr>
        <w:b/>
        <w:bCs/>
        <w:color w:val="FFFFFF" w:themeColor="background1"/>
      </w:rPr>
      <w:tblPr/>
      <w:tcPr>
        <w:tcBorders>
          <w:bottom w:val="single" w:sz="12" w:space="0" w:color="FFFFFF" w:themeColor="background1"/>
        </w:tcBorders>
        <w:shd w:val="clear" w:color="auto" w:fill="5D909D" w:themeFill="accent5" w:themeFillShade="CC"/>
      </w:tcPr>
    </w:tblStylePr>
    <w:tblStylePr w:type="lastRow">
      <w:rPr>
        <w:b/>
        <w:bCs/>
        <w:color w:val="5D909D"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5E0F4" w:themeFill="accent6" w:themeFillTint="3F"/>
      </w:tcPr>
    </w:tblStylePr>
    <w:tblStylePr w:type="band1Horz">
      <w:tblPr/>
      <w:tcPr>
        <w:shd w:val="clear" w:color="auto" w:fill="D0E6F6"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4EAF3" w:themeFill="accent1" w:themeFillTint="33"/>
    </w:tcPr>
    <w:tblStylePr w:type="firstRow">
      <w:rPr>
        <w:b/>
        <w:bCs/>
      </w:rPr>
      <w:tblPr/>
      <w:tcPr>
        <w:shd w:val="clear" w:color="auto" w:fill="A9D5E7" w:themeFill="accent1" w:themeFillTint="66"/>
      </w:tcPr>
    </w:tblStylePr>
    <w:tblStylePr w:type="lastRow">
      <w:rPr>
        <w:b/>
        <w:bCs/>
        <w:color w:val="000000" w:themeColor="text1"/>
      </w:rPr>
      <w:tblPr/>
      <w:tcPr>
        <w:shd w:val="clear" w:color="auto" w:fill="A9D5E7" w:themeFill="accent1" w:themeFillTint="66"/>
      </w:tcPr>
    </w:tblStylePr>
    <w:tblStylePr w:type="firstCol">
      <w:rPr>
        <w:color w:val="FFFFFF" w:themeColor="background1"/>
      </w:rPr>
      <w:tblPr/>
      <w:tcPr>
        <w:shd w:val="clear" w:color="auto" w:fill="276E8B" w:themeFill="accent1" w:themeFillShade="BF"/>
      </w:tcPr>
    </w:tblStylePr>
    <w:tblStylePr w:type="lastCol">
      <w:rPr>
        <w:color w:val="FFFFFF" w:themeColor="background1"/>
      </w:rPr>
      <w:tblPr/>
      <w:tcPr>
        <w:shd w:val="clear" w:color="auto" w:fill="276E8B" w:themeFill="accent1" w:themeFillShade="BF"/>
      </w:tcPr>
    </w:tblStylePr>
    <w:tblStylePr w:type="band1Vert">
      <w:tblPr/>
      <w:tcPr>
        <w:shd w:val="clear" w:color="auto" w:fill="94CBE1" w:themeFill="accent1" w:themeFillTint="7F"/>
      </w:tcPr>
    </w:tblStylePr>
    <w:tblStylePr w:type="band1Horz">
      <w:tblPr/>
      <w:tcPr>
        <w:shd w:val="clear" w:color="auto" w:fill="94CBE1"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DF0F2" w:themeFill="accent2" w:themeFillTint="33"/>
    </w:tcPr>
    <w:tblStylePr w:type="firstRow">
      <w:rPr>
        <w:b/>
        <w:bCs/>
      </w:rPr>
      <w:tblPr/>
      <w:tcPr>
        <w:shd w:val="clear" w:color="auto" w:fill="BCE1E5" w:themeFill="accent2" w:themeFillTint="66"/>
      </w:tcPr>
    </w:tblStylePr>
    <w:tblStylePr w:type="lastRow">
      <w:rPr>
        <w:b/>
        <w:bCs/>
        <w:color w:val="000000" w:themeColor="text1"/>
      </w:rPr>
      <w:tblPr/>
      <w:tcPr>
        <w:shd w:val="clear" w:color="auto" w:fill="BCE1E5" w:themeFill="accent2" w:themeFillTint="66"/>
      </w:tcPr>
    </w:tblStylePr>
    <w:tblStylePr w:type="firstCol">
      <w:rPr>
        <w:color w:val="FFFFFF" w:themeColor="background1"/>
      </w:rPr>
      <w:tblPr/>
      <w:tcPr>
        <w:shd w:val="clear" w:color="auto" w:fill="398E98" w:themeFill="accent2" w:themeFillShade="BF"/>
      </w:tcPr>
    </w:tblStylePr>
    <w:tblStylePr w:type="lastCol">
      <w:rPr>
        <w:color w:val="FFFFFF" w:themeColor="background1"/>
      </w:rPr>
      <w:tblPr/>
      <w:tcPr>
        <w:shd w:val="clear" w:color="auto" w:fill="398E98" w:themeFill="accent2" w:themeFillShade="BF"/>
      </w:tcPr>
    </w:tblStylePr>
    <w:tblStylePr w:type="band1Vert">
      <w:tblPr/>
      <w:tcPr>
        <w:shd w:val="clear" w:color="auto" w:fill="ABDADF" w:themeFill="accent2" w:themeFillTint="7F"/>
      </w:tcPr>
    </w:tblStylePr>
    <w:tblStylePr w:type="band1Horz">
      <w:tblPr/>
      <w:tcPr>
        <w:shd w:val="clear" w:color="auto" w:fill="ABDADF"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3F1ED" w:themeFill="accent3" w:themeFillTint="33"/>
    </w:tcPr>
    <w:tblStylePr w:type="firstRow">
      <w:rPr>
        <w:b/>
        <w:bCs/>
      </w:rPr>
      <w:tblPr/>
      <w:tcPr>
        <w:shd w:val="clear" w:color="auto" w:fill="C7E4DB" w:themeFill="accent3" w:themeFillTint="66"/>
      </w:tcPr>
    </w:tblStylePr>
    <w:tblStylePr w:type="lastRow">
      <w:rPr>
        <w:b/>
        <w:bCs/>
        <w:color w:val="000000" w:themeColor="text1"/>
      </w:rPr>
      <w:tblPr/>
      <w:tcPr>
        <w:shd w:val="clear" w:color="auto" w:fill="C7E4DB" w:themeFill="accent3" w:themeFillTint="66"/>
      </w:tcPr>
    </w:tblStylePr>
    <w:tblStylePr w:type="firstCol">
      <w:rPr>
        <w:color w:val="FFFFFF" w:themeColor="background1"/>
      </w:rPr>
      <w:tblPr/>
      <w:tcPr>
        <w:shd w:val="clear" w:color="auto" w:fill="4A9A82" w:themeFill="accent3" w:themeFillShade="BF"/>
      </w:tcPr>
    </w:tblStylePr>
    <w:tblStylePr w:type="lastCol">
      <w:rPr>
        <w:color w:val="FFFFFF" w:themeColor="background1"/>
      </w:rPr>
      <w:tblPr/>
      <w:tcPr>
        <w:shd w:val="clear" w:color="auto" w:fill="4A9A82" w:themeFill="accent3" w:themeFillShade="BF"/>
      </w:tcPr>
    </w:tblStylePr>
    <w:tblStylePr w:type="band1Vert">
      <w:tblPr/>
      <w:tcPr>
        <w:shd w:val="clear" w:color="auto" w:fill="BADED3" w:themeFill="accent3" w:themeFillTint="7F"/>
      </w:tcPr>
    </w:tblStylePr>
    <w:tblStylePr w:type="band1Horz">
      <w:tblPr/>
      <w:tcPr>
        <w:shd w:val="clear" w:color="auto" w:fill="BADED3"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4E7E8" w:themeFill="accent4" w:themeFillTint="33"/>
    </w:tcPr>
    <w:tblStylePr w:type="firstRow">
      <w:rPr>
        <w:b/>
        <w:bCs/>
      </w:rPr>
      <w:tblPr/>
      <w:tcPr>
        <w:shd w:val="clear" w:color="auto" w:fill="C9D0D1" w:themeFill="accent4" w:themeFillTint="66"/>
      </w:tcPr>
    </w:tblStylePr>
    <w:tblStylePr w:type="lastRow">
      <w:rPr>
        <w:b/>
        <w:bCs/>
        <w:color w:val="000000" w:themeColor="text1"/>
      </w:rPr>
      <w:tblPr/>
      <w:tcPr>
        <w:shd w:val="clear" w:color="auto" w:fill="C9D0D1" w:themeFill="accent4" w:themeFillTint="66"/>
      </w:tcPr>
    </w:tblStylePr>
    <w:tblStylePr w:type="firstCol">
      <w:rPr>
        <w:color w:val="FFFFFF" w:themeColor="background1"/>
      </w:rPr>
      <w:tblPr/>
      <w:tcPr>
        <w:shd w:val="clear" w:color="auto" w:fill="5A696A" w:themeFill="accent4" w:themeFillShade="BF"/>
      </w:tcPr>
    </w:tblStylePr>
    <w:tblStylePr w:type="lastCol">
      <w:rPr>
        <w:color w:val="FFFFFF" w:themeColor="background1"/>
      </w:rPr>
      <w:tblPr/>
      <w:tcPr>
        <w:shd w:val="clear" w:color="auto" w:fill="5A696A" w:themeFill="accent4" w:themeFillShade="BF"/>
      </w:tcPr>
    </w:tblStylePr>
    <w:tblStylePr w:type="band1Vert">
      <w:tblPr/>
      <w:tcPr>
        <w:shd w:val="clear" w:color="auto" w:fill="BCC5C6" w:themeFill="accent4" w:themeFillTint="7F"/>
      </w:tcPr>
    </w:tblStylePr>
    <w:tblStylePr w:type="band1Horz">
      <w:tblPr/>
      <w:tcPr>
        <w:shd w:val="clear" w:color="auto" w:fill="BCC5C6"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6EEF0" w:themeFill="accent5" w:themeFillTint="33"/>
    </w:tcPr>
    <w:tblStylePr w:type="firstRow">
      <w:rPr>
        <w:b/>
        <w:bCs/>
      </w:rPr>
      <w:tblPr/>
      <w:tcPr>
        <w:shd w:val="clear" w:color="auto" w:fill="CDDDE1" w:themeFill="accent5" w:themeFillTint="66"/>
      </w:tcPr>
    </w:tblStylePr>
    <w:tblStylePr w:type="lastRow">
      <w:rPr>
        <w:b/>
        <w:bCs/>
        <w:color w:val="000000" w:themeColor="text1"/>
      </w:rPr>
      <w:tblPr/>
      <w:tcPr>
        <w:shd w:val="clear" w:color="auto" w:fill="CDDDE1" w:themeFill="accent5" w:themeFillTint="66"/>
      </w:tcPr>
    </w:tblStylePr>
    <w:tblStylePr w:type="firstCol">
      <w:rPr>
        <w:color w:val="FFFFFF" w:themeColor="background1"/>
      </w:rPr>
      <w:tblPr/>
      <w:tcPr>
        <w:shd w:val="clear" w:color="auto" w:fill="578793" w:themeFill="accent5" w:themeFillShade="BF"/>
      </w:tcPr>
    </w:tblStylePr>
    <w:tblStylePr w:type="lastCol">
      <w:rPr>
        <w:color w:val="FFFFFF" w:themeColor="background1"/>
      </w:rPr>
      <w:tblPr/>
      <w:tcPr>
        <w:shd w:val="clear" w:color="auto" w:fill="578793" w:themeFill="accent5" w:themeFillShade="BF"/>
      </w:tcPr>
    </w:tblStylePr>
    <w:tblStylePr w:type="band1Vert">
      <w:tblPr/>
      <w:tcPr>
        <w:shd w:val="clear" w:color="auto" w:fill="C1D5DA" w:themeFill="accent5" w:themeFillTint="7F"/>
      </w:tcPr>
    </w:tblStylePr>
    <w:tblStylePr w:type="band1Horz">
      <w:tblPr/>
      <w:tcPr>
        <w:shd w:val="clear" w:color="auto" w:fill="C1D5DA"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0E6F6" w:themeFill="accent6" w:themeFillTint="33"/>
    </w:tcPr>
    <w:tblStylePr w:type="firstRow">
      <w:rPr>
        <w:b/>
        <w:bCs/>
      </w:rPr>
      <w:tblPr/>
      <w:tcPr>
        <w:shd w:val="clear" w:color="auto" w:fill="A3CEED" w:themeFill="accent6" w:themeFillTint="66"/>
      </w:tcPr>
    </w:tblStylePr>
    <w:tblStylePr w:type="lastRow">
      <w:rPr>
        <w:b/>
        <w:bCs/>
        <w:color w:val="000000" w:themeColor="text1"/>
      </w:rPr>
      <w:tblPr/>
      <w:tcPr>
        <w:shd w:val="clear" w:color="auto" w:fill="A3CEED" w:themeFill="accent6" w:themeFillTint="66"/>
      </w:tcPr>
    </w:tblStylePr>
    <w:tblStylePr w:type="firstCol">
      <w:rPr>
        <w:color w:val="FFFFFF" w:themeColor="background1"/>
      </w:rPr>
      <w:tblPr/>
      <w:tcPr>
        <w:shd w:val="clear" w:color="auto" w:fill="1C6194" w:themeFill="accent6" w:themeFillShade="BF"/>
      </w:tcPr>
    </w:tblStylePr>
    <w:tblStylePr w:type="lastCol">
      <w:rPr>
        <w:color w:val="FFFFFF" w:themeColor="background1"/>
      </w:rPr>
      <w:tblPr/>
      <w:tcPr>
        <w:shd w:val="clear" w:color="auto" w:fill="1C6194" w:themeFill="accent6" w:themeFillShade="BF"/>
      </w:tcPr>
    </w:tblStylePr>
    <w:tblStylePr w:type="band1Vert">
      <w:tblPr/>
      <w:tcPr>
        <w:shd w:val="clear" w:color="auto" w:fill="8CC2E9" w:themeFill="accent6" w:themeFillTint="7F"/>
      </w:tcPr>
    </w:tblStylePr>
    <w:tblStylePr w:type="band1Horz">
      <w:tblPr/>
      <w:tcPr>
        <w:shd w:val="clear" w:color="auto" w:fill="8CC2E9" w:themeFill="accent6" w:themeFillTint="7F"/>
      </w:tcPr>
    </w:tblStylePr>
  </w:style>
  <w:style w:type="character" w:styleId="CommentReference">
    <w:name w:val="annotation reference"/>
    <w:basedOn w:val="DefaultParagraphFont"/>
    <w:uiPriority w:val="99"/>
    <w:semiHidden/>
    <w:unhideWhenUsed/>
    <w:rsid w:val="00700C31"/>
    <w:rPr>
      <w:sz w:val="16"/>
      <w:szCs w:val="16"/>
    </w:rPr>
  </w:style>
  <w:style w:type="paragraph" w:styleId="CommentText">
    <w:name w:val="annotation text"/>
    <w:basedOn w:val="Normal"/>
    <w:link w:val="CommentTextChar"/>
    <w:uiPriority w:val="99"/>
    <w:unhideWhenUsed/>
    <w:rsid w:val="00700C31"/>
    <w:pPr>
      <w:spacing w:line="240" w:lineRule="auto"/>
    </w:pPr>
    <w:rPr>
      <w:sz w:val="20"/>
      <w:szCs w:val="20"/>
    </w:rPr>
  </w:style>
  <w:style w:type="character" w:customStyle="1" w:styleId="CommentTextChar">
    <w:name w:val="Comment Text Char"/>
    <w:basedOn w:val="DefaultParagraphFont"/>
    <w:link w:val="CommentText"/>
    <w:uiPriority w:val="99"/>
    <w:rsid w:val="00700C31"/>
    <w:rPr>
      <w:rFonts w:ascii="Arial" w:eastAsia="Arial" w:hAnsi="Arial"/>
      <w:sz w:val="20"/>
      <w:szCs w:val="20"/>
    </w:rPr>
  </w:style>
  <w:style w:type="paragraph" w:styleId="CommentSubject">
    <w:name w:val="annotation subject"/>
    <w:basedOn w:val="CommentText"/>
    <w:next w:val="CommentText"/>
    <w:link w:val="CommentSubjectChar"/>
    <w:uiPriority w:val="99"/>
    <w:semiHidden/>
    <w:unhideWhenUsed/>
    <w:rsid w:val="00700C31"/>
    <w:rPr>
      <w:b/>
      <w:bCs/>
    </w:rPr>
  </w:style>
  <w:style w:type="character" w:customStyle="1" w:styleId="CommentSubjectChar">
    <w:name w:val="Comment Subject Char"/>
    <w:basedOn w:val="CommentTextChar"/>
    <w:link w:val="CommentSubject"/>
    <w:uiPriority w:val="99"/>
    <w:semiHidden/>
    <w:rsid w:val="00700C31"/>
    <w:rPr>
      <w:rFonts w:ascii="Arial" w:eastAsia="Arial" w:hAnsi="Arial"/>
      <w:b/>
      <w:bCs/>
      <w:sz w:val="20"/>
      <w:szCs w:val="20"/>
    </w:rPr>
  </w:style>
  <w:style w:type="character" w:styleId="Hyperlink">
    <w:name w:val="Hyperlink"/>
    <w:basedOn w:val="DefaultParagraphFont"/>
    <w:uiPriority w:val="99"/>
    <w:unhideWhenUsed/>
    <w:rsid w:val="004C1DBC"/>
    <w:rPr>
      <w:color w:val="6B9F25" w:themeColor="hyperlink"/>
      <w:u w:val="single"/>
    </w:rPr>
  </w:style>
  <w:style w:type="character" w:styleId="UnresolvedMention">
    <w:name w:val="Unresolved Mention"/>
    <w:basedOn w:val="DefaultParagraphFont"/>
    <w:uiPriority w:val="99"/>
    <w:semiHidden/>
    <w:unhideWhenUsed/>
    <w:rsid w:val="004C1DBC"/>
    <w:rPr>
      <w:color w:val="605E5C"/>
      <w:shd w:val="clear" w:color="auto" w:fill="E1DFDD"/>
    </w:rPr>
  </w:style>
  <w:style w:type="character" w:styleId="FollowedHyperlink">
    <w:name w:val="FollowedHyperlink"/>
    <w:basedOn w:val="DefaultParagraphFont"/>
    <w:uiPriority w:val="99"/>
    <w:semiHidden/>
    <w:unhideWhenUsed/>
    <w:rsid w:val="00CA734B"/>
    <w:rPr>
      <w:color w:val="9F6715" w:themeColor="followedHyperlink"/>
      <w:u w:val="single"/>
    </w:rPr>
  </w:style>
  <w:style w:type="table" w:customStyle="1" w:styleId="TableGrid1">
    <w:name w:val="Table Grid1"/>
    <w:basedOn w:val="TableNormal"/>
    <w:next w:val="TableGrid"/>
    <w:uiPriority w:val="59"/>
    <w:rsid w:val="00B23C85"/>
    <w:pPr>
      <w:spacing w:after="0" w:line="240" w:lineRule="auto"/>
    </w:pPr>
    <w:rPr>
      <w:rFonts w:eastAsia="Calibri"/>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ealthandsafety.enquiries@derbyshire.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iew.officeapps.live.com/op/view.aspx?src=https%3A%2F%2Fassets.publishing.service.gov.uk%2Fmedia%2F5a75090f40f0b6360e472d23%2FSupporting_pupils_with_medical_conditions_-_templates.docx&amp;wdOrigin=BROWSELINK" TargetMode="Externa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8C3CB6-09ED-4ED5-985D-9DA796811F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23226e-4966-499b-8cc9-659d0e4e3595"/>
    <ds:schemaRef ds:uri="04a1ef9d-858b-4cc0-9ff6-b372eb4174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3.xml><?xml version="1.0" encoding="utf-8"?>
<ds:datastoreItem xmlns:ds="http://schemas.openxmlformats.org/officeDocument/2006/customXml" ds:itemID="{FBBE55BE-45AE-4986-9815-98894A8A39E1}">
  <ds:schemaRefs>
    <ds:schemaRef ds:uri="http://schemas.microsoft.com/office/2006/metadata/properties"/>
    <ds:schemaRef ds:uri="http://schemas.microsoft.com/office/infopath/2007/PartnerControls"/>
    <ds:schemaRef ds:uri="2123226e-4966-499b-8cc9-659d0e4e3595"/>
    <ds:schemaRef ds:uri="04a1ef9d-858b-4cc0-9ff6-b372eb417414"/>
  </ds:schemaRefs>
</ds:datastoreItem>
</file>

<file path=customXml/itemProps4.xml><?xml version="1.0" encoding="utf-8"?>
<ds:datastoreItem xmlns:ds="http://schemas.openxmlformats.org/officeDocument/2006/customXml" ds:itemID="{807D224C-8ED7-4F8B-BBA7-A0B857FC71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6913</Words>
  <Characters>39406</Characters>
  <Application>Microsoft Office Word</Application>
  <DocSecurity>0</DocSecurity>
  <Lines>328</Lines>
  <Paragraphs>92</Paragraphs>
  <ScaleCrop>false</ScaleCrop>
  <Manager/>
  <Company/>
  <LinksUpToDate>false</LinksUpToDate>
  <CharactersWithSpaces>46227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Booth (Corporate Services and Transformation)</dc:creator>
  <cp:keywords/>
  <dc:description>generated by python-docx</dc:description>
  <cp:lastModifiedBy>M Carvell</cp:lastModifiedBy>
  <cp:revision>22</cp:revision>
  <dcterms:created xsi:type="dcterms:W3CDTF">2026-09-20T14:00:00Z</dcterms:created>
  <dcterms:modified xsi:type="dcterms:W3CDTF">2026-09-29T15:34:00Z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3d341e5c,62a9ee21,47023bb8</vt:lpwstr>
  </property>
  <property fmtid="{D5CDD505-2E9C-101B-9397-08002B2CF9AE}" pid="3" name="ClassificationContentMarkingFooterFontProps">
    <vt:lpwstr>#000000,10,Aptos</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2026-06-30T11:21:49Z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f60ccff9-ea65-44a5-934e-6fa4c22b9022</vt:lpwstr>
  </property>
  <property fmtid="{D5CDD505-2E9C-101B-9397-08002B2CF9AE}" pid="11" name="MSIP_Label_768904da-5dbb-4716-9521-7a682c6e8720_ContentBits">
    <vt:lpwstr>2</vt:lpwstr>
  </property>
  <property fmtid="{D5CDD505-2E9C-101B-9397-08002B2CF9AE}" pid="12" name="MSIP_Label_768904da-5dbb-4716-9521-7a682c6e8720_Tag">
    <vt:lpwstr>10, 3, 0, 2</vt:lpwstr>
  </property>
  <property fmtid="{D5CDD505-2E9C-101B-9397-08002B2CF9AE}" pid="13" name="ContentTypeId">
    <vt:lpwstr>0x0101002831C8DA2745AB4B8107EAB722C2F239</vt:lpwstr>
  </property>
  <property fmtid="{D5CDD505-2E9C-101B-9397-08002B2CF9AE}" pid="14" name="Order">
    <vt:r8>6300</vt:r8>
  </property>
  <property fmtid="{D5CDD505-2E9C-101B-9397-08002B2CF9AE}" pid="15" name="xd_Signature">
    <vt:bool>false</vt:bool>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TriggerFlowInfo">
    <vt:lpwstr/>
  </property>
  <property fmtid="{D5CDD505-2E9C-101B-9397-08002B2CF9AE}" pid="21" name="MediaServiceImageTags">
    <vt:lpwstr/>
  </property>
</Properties>
</file>